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AMTA’s Chapter Volunteer Orientation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Respectfully submitted by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Mindy Murkley-Kruckerberg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Being on the Board of Directors for our Chapter really means alot to me. Throughout the past 8 years I’ve held several different positions and learned many jobs that it takes to run the Chapter efficiently. I believe in growing our own personal skills along with our massage skills. As the years go by and one gets more experience we start to seek more fulfillment.  This year I was selected to go to CVOP. I was blown away by the experience. I wasn’t expecting to learn so much. All of the topics were literally what I needed to get reassurance and strength.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During the training, the topic I found most fascinating was: Personalities, we all have different personalities! Isn’t that the truth. We learned about 4 different styles a person could have. When we all come to the boardroom table we have better tools to identify them and know how to communicate with each other more effectively. This is a must!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 really needed this. I now try to practice when talking to people not on the Board to see which category I think that they are in. I then see how they respond when talking to them in that style.  Let’s start with some of the traits that make up each of the unique styles.  The Analyze</w:t>
      </w:r>
      <w:r w:rsidDel="00000000" w:rsidR="00000000" w:rsidRPr="00000000">
        <w:rPr>
          <w:rtl w:val="0"/>
        </w:rPr>
        <w:t xml:space="preserve">r (this describes me)</w:t>
      </w:r>
      <w:r w:rsidDel="00000000" w:rsidR="00000000" w:rsidRPr="00000000">
        <w:rPr>
          <w:rtl w:val="0"/>
        </w:rPr>
        <w:t xml:space="preserve">:  has to be prepared and know your facts, will do research before making a decision. Controllers:  not quick at making decisions, needs facts and data. Persuaders:  offer rewards to others and take their opinions into consideration, they try to sell the idea. Lastly, Stabilizers: there’s no restrictions or organization, they ask everyone for suggestions.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Each style has to be able to recognize all the different styles and be able to adapt with flexible approaches. Being able to step back, take a breath, check in with yourself and then take an inventory of how everyone else is feeling Is vital to keep the meeting healthy. This is a great time to offer a break. Hopefully with a different approach, the meeting can start again. This time reaching a much more successful outcome. When the meeting closes, expressing gratitude and thankfulness of how much you have accomplished during the meeting is a very uplifting and reassuring way to end. Thoughts of coming into the next meeting will be much more upbeat and positive!</w:t>
      </w:r>
    </w:p>
    <w:p w:rsidR="00000000" w:rsidDel="00000000" w:rsidP="00000000" w:rsidRDefault="00000000" w:rsidRPr="00000000">
      <w:pPr>
        <w:contextualSpacing w:val="0"/>
        <w:rPr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9900ff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