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FB9F2" w14:textId="4A9A3C59" w:rsidR="00856A09" w:rsidRDefault="002B2075" w:rsidP="00955F17">
      <w:pPr>
        <w:pStyle w:val="Heading1"/>
        <w:spacing w:before="0"/>
        <w:rPr>
          <w:rFonts w:ascii="Arial" w:hAnsi="Arial"/>
          <w:color w:val="632423" w:themeColor="accent2" w:themeShade="80"/>
        </w:rPr>
      </w:pPr>
      <w:r>
        <w:rPr>
          <w:rFonts w:ascii="Arial" w:hAnsi="Arial"/>
          <w:color w:val="632423" w:themeColor="accent2" w:themeShade="80"/>
        </w:rPr>
        <w:t>HEALTH CARE AND MEDICAL RESPONSE COORDINATION</w:t>
      </w:r>
    </w:p>
    <w:p w14:paraId="736EA4B0" w14:textId="694D469D" w:rsidR="00525816" w:rsidRDefault="00525816" w:rsidP="00955F17">
      <w:pPr>
        <w:pStyle w:val="Heading1"/>
        <w:spacing w:before="0"/>
        <w:rPr>
          <w:rFonts w:ascii="Arial" w:hAnsi="Arial"/>
          <w:color w:val="632423" w:themeColor="accent2" w:themeShade="80"/>
        </w:rPr>
      </w:pPr>
      <w:r w:rsidRPr="007B1C37">
        <w:rPr>
          <w:rFonts w:ascii="Arial" w:hAnsi="Arial"/>
          <w:color w:val="632423" w:themeColor="accent2" w:themeShade="80"/>
        </w:rPr>
        <w:t>Exercise Evaluation Guide</w:t>
      </w:r>
    </w:p>
    <w:p w14:paraId="5729C19D" w14:textId="411EA525" w:rsidR="002B2075" w:rsidRPr="002B2075" w:rsidRDefault="002B2075" w:rsidP="002B2075">
      <w:pPr>
        <w:pStyle w:val="BodyText"/>
        <w:rPr>
          <w:color w:val="FF0000"/>
        </w:rPr>
      </w:pPr>
      <w:r w:rsidRPr="007C4817">
        <w:rPr>
          <w:color w:val="FF0000"/>
        </w:rPr>
        <w:t xml:space="preserve">NOTE: </w:t>
      </w:r>
      <w:r>
        <w:rPr>
          <w:color w:val="FF0000"/>
        </w:rPr>
        <w:t>This is a SAMPLE exercise evaluation guide (EEG)</w:t>
      </w:r>
      <w:r w:rsidRPr="007C4817">
        <w:rPr>
          <w:color w:val="FF0000"/>
        </w:rPr>
        <w:t xml:space="preserve">. All objectives, capabilities, capability targets, and critical tasks may be altered to suit your facility’s </w:t>
      </w:r>
      <w:r>
        <w:rPr>
          <w:color w:val="FF0000"/>
        </w:rPr>
        <w:t>exercise needs</w:t>
      </w:r>
      <w:r w:rsidRPr="007C4817">
        <w:rPr>
          <w:color w:val="FF0000"/>
        </w:rPr>
        <w:t>.</w:t>
      </w:r>
      <w:r>
        <w:rPr>
          <w:color w:val="FF0000"/>
        </w:rPr>
        <w:t xml:space="preserve"> It is recommended that a separate EEG be created for each capability (for example, Health Care and Medical Response Coordination). Define what you need to exercise (plan, policy, procedure, etc.) and then break it down into specific steps/tasks that can be measured for completion. List those steps here. </w:t>
      </w:r>
    </w:p>
    <w:tbl>
      <w:tblPr>
        <w:tblStyle w:val="TableGrid"/>
        <w:tblW w:w="14400" w:type="dxa"/>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2336"/>
        <w:gridCol w:w="3804"/>
        <w:gridCol w:w="4130"/>
        <w:gridCol w:w="4130"/>
      </w:tblGrid>
      <w:tr w:rsidR="00525816" w:rsidRPr="00D6185A" w14:paraId="08AADCD5" w14:textId="77777777" w:rsidTr="00405EA5">
        <w:trPr>
          <w:trHeight w:val="720"/>
          <w:jc w:val="center"/>
        </w:trPr>
        <w:tc>
          <w:tcPr>
            <w:tcW w:w="2132" w:type="pct"/>
            <w:gridSpan w:val="2"/>
            <w:tcBorders>
              <w:bottom w:val="single" w:sz="4" w:space="0" w:color="auto"/>
            </w:tcBorders>
            <w:vAlign w:val="center"/>
          </w:tcPr>
          <w:p w14:paraId="76B0DE1C" w14:textId="605F1194" w:rsidR="00525816" w:rsidRPr="00D6185A" w:rsidRDefault="00525816" w:rsidP="00525816">
            <w:pPr>
              <w:spacing w:before="60" w:after="60"/>
              <w:rPr>
                <w:szCs w:val="24"/>
              </w:rPr>
            </w:pPr>
            <w:r w:rsidRPr="00D6185A">
              <w:rPr>
                <w:i/>
                <w:szCs w:val="24"/>
              </w:rPr>
              <w:t xml:space="preserve">Exercise Name:  </w:t>
            </w:r>
            <w:r w:rsidR="00405EA5">
              <w:rPr>
                <w:szCs w:val="24"/>
              </w:rPr>
              <w:t>Twilight Twister</w:t>
            </w:r>
            <w:r w:rsidR="00333040" w:rsidRPr="00D6185A">
              <w:rPr>
                <w:szCs w:val="24"/>
              </w:rPr>
              <w:t>, 2017</w:t>
            </w:r>
          </w:p>
          <w:p w14:paraId="7A45C0D8" w14:textId="105E34B0" w:rsidR="00525816" w:rsidRPr="00D6185A" w:rsidRDefault="00525816" w:rsidP="00333040">
            <w:pPr>
              <w:spacing w:before="60" w:after="60"/>
              <w:rPr>
                <w:b/>
                <w:szCs w:val="24"/>
              </w:rPr>
            </w:pPr>
            <w:r w:rsidRPr="00D6185A">
              <w:rPr>
                <w:i/>
                <w:szCs w:val="24"/>
              </w:rPr>
              <w:t xml:space="preserve">Exercise Date: </w:t>
            </w:r>
            <w:r w:rsidR="00856A09">
              <w:rPr>
                <w:szCs w:val="24"/>
                <w:highlight w:val="yellow"/>
              </w:rPr>
              <w:t>Date</w:t>
            </w:r>
            <w:r w:rsidR="00405EA5" w:rsidRPr="00405EA5">
              <w:rPr>
                <w:szCs w:val="24"/>
                <w:highlight w:val="yellow"/>
              </w:rPr>
              <w:t>,</w:t>
            </w:r>
            <w:r w:rsidR="00405EA5">
              <w:rPr>
                <w:szCs w:val="24"/>
              </w:rPr>
              <w:t xml:space="preserve"> </w:t>
            </w:r>
            <w:r w:rsidR="00333040" w:rsidRPr="00D6185A">
              <w:rPr>
                <w:szCs w:val="24"/>
              </w:rPr>
              <w:t>2017</w:t>
            </w:r>
          </w:p>
        </w:tc>
        <w:tc>
          <w:tcPr>
            <w:tcW w:w="1434" w:type="pct"/>
            <w:tcBorders>
              <w:bottom w:val="single" w:sz="4" w:space="0" w:color="auto"/>
            </w:tcBorders>
            <w:vAlign w:val="center"/>
          </w:tcPr>
          <w:p w14:paraId="74AF4E86" w14:textId="4D87B09B" w:rsidR="00525816" w:rsidRPr="00D6185A" w:rsidRDefault="00525816" w:rsidP="00405EA5">
            <w:pPr>
              <w:spacing w:before="60" w:after="60"/>
              <w:rPr>
                <w:szCs w:val="24"/>
              </w:rPr>
            </w:pPr>
            <w:r w:rsidRPr="00D6185A">
              <w:rPr>
                <w:i/>
                <w:szCs w:val="24"/>
              </w:rPr>
              <w:t>Organization/Jurisdiction:</w:t>
            </w:r>
            <w:r w:rsidR="004024E2" w:rsidRPr="00D6185A">
              <w:rPr>
                <w:i/>
                <w:szCs w:val="24"/>
              </w:rPr>
              <w:t xml:space="preserve"> </w:t>
            </w:r>
            <w:r w:rsidR="00856A09">
              <w:rPr>
                <w:szCs w:val="24"/>
                <w:highlight w:val="yellow"/>
              </w:rPr>
              <w:t>Insert</w:t>
            </w:r>
          </w:p>
        </w:tc>
        <w:tc>
          <w:tcPr>
            <w:tcW w:w="1435" w:type="pct"/>
            <w:tcBorders>
              <w:bottom w:val="single" w:sz="4" w:space="0" w:color="auto"/>
            </w:tcBorders>
            <w:vAlign w:val="center"/>
          </w:tcPr>
          <w:p w14:paraId="19B3254E" w14:textId="08CDFAC2" w:rsidR="00525816" w:rsidRPr="00D6185A" w:rsidRDefault="00525816" w:rsidP="004024E2">
            <w:pPr>
              <w:spacing w:before="60" w:after="60"/>
              <w:rPr>
                <w:szCs w:val="24"/>
              </w:rPr>
            </w:pPr>
            <w:r w:rsidRPr="00D6185A">
              <w:rPr>
                <w:i/>
                <w:szCs w:val="24"/>
              </w:rPr>
              <w:t>Venue:</w:t>
            </w:r>
            <w:r w:rsidR="004024E2" w:rsidRPr="00D6185A">
              <w:rPr>
                <w:i/>
                <w:szCs w:val="24"/>
              </w:rPr>
              <w:t xml:space="preserve"> </w:t>
            </w:r>
            <w:r w:rsidR="00856A09">
              <w:rPr>
                <w:szCs w:val="24"/>
                <w:highlight w:val="yellow"/>
              </w:rPr>
              <w:t>Insert venue name</w:t>
            </w:r>
          </w:p>
        </w:tc>
      </w:tr>
      <w:tr w:rsidR="00525816" w:rsidRPr="00D6185A" w14:paraId="31B1767D" w14:textId="77777777" w:rsidTr="0099005F">
        <w:trPr>
          <w:trHeight w:val="422"/>
          <w:jc w:val="center"/>
        </w:trPr>
        <w:tc>
          <w:tcPr>
            <w:tcW w:w="5000" w:type="pct"/>
            <w:gridSpan w:val="4"/>
            <w:shd w:val="clear" w:color="auto" w:fill="632423" w:themeFill="accent2" w:themeFillShade="80"/>
            <w:vAlign w:val="center"/>
          </w:tcPr>
          <w:p w14:paraId="1DE69366" w14:textId="77777777" w:rsidR="00525816" w:rsidRPr="00D6185A" w:rsidRDefault="0099005F" w:rsidP="00525816">
            <w:pPr>
              <w:spacing w:before="60" w:after="60"/>
              <w:jc w:val="center"/>
              <w:rPr>
                <w:b/>
                <w:szCs w:val="24"/>
              </w:rPr>
            </w:pPr>
            <w:r w:rsidRPr="00D6185A">
              <w:rPr>
                <w:b/>
                <w:szCs w:val="24"/>
              </w:rPr>
              <w:t>Response</w:t>
            </w:r>
          </w:p>
        </w:tc>
      </w:tr>
      <w:tr w:rsidR="00525816" w:rsidRPr="00D6185A" w14:paraId="36A5C0FE" w14:textId="77777777" w:rsidTr="008A6F44">
        <w:trPr>
          <w:trHeight w:val="432"/>
          <w:jc w:val="center"/>
        </w:trPr>
        <w:tc>
          <w:tcPr>
            <w:tcW w:w="5000" w:type="pct"/>
            <w:gridSpan w:val="4"/>
          </w:tcPr>
          <w:p w14:paraId="1673E15B" w14:textId="0513A9F0" w:rsidR="00525816" w:rsidRPr="00D6185A" w:rsidRDefault="00C804A2" w:rsidP="00C804A2">
            <w:pPr>
              <w:spacing w:before="60" w:after="60"/>
              <w:rPr>
                <w:szCs w:val="24"/>
              </w:rPr>
            </w:pPr>
            <w:r w:rsidRPr="00D6185A">
              <w:rPr>
                <w:b/>
                <w:i/>
                <w:szCs w:val="24"/>
              </w:rPr>
              <w:t>Exercise Objectives</w:t>
            </w:r>
            <w:r w:rsidR="00525816" w:rsidRPr="00D6185A">
              <w:rPr>
                <w:b/>
                <w:i/>
                <w:szCs w:val="24"/>
              </w:rPr>
              <w:t>:</w:t>
            </w:r>
            <w:r w:rsidR="00525816" w:rsidRPr="00D6185A">
              <w:rPr>
                <w:szCs w:val="24"/>
              </w:rPr>
              <w:t xml:space="preserve">  </w:t>
            </w:r>
          </w:p>
          <w:p w14:paraId="426CBB65" w14:textId="77777777" w:rsidR="00C16578" w:rsidRDefault="00C16578" w:rsidP="00C16578">
            <w:pPr>
              <w:pStyle w:val="ListParagraph"/>
              <w:numPr>
                <w:ilvl w:val="0"/>
                <w:numId w:val="8"/>
              </w:numPr>
              <w:spacing w:before="60" w:after="60"/>
              <w:rPr>
                <w:szCs w:val="24"/>
              </w:rPr>
            </w:pPr>
            <w:r w:rsidRPr="00C16578">
              <w:rPr>
                <w:szCs w:val="24"/>
              </w:rPr>
              <w:t>In accordance with jurisdictional plans, policies, and procedures, incident response personnel will identify the process of resource management, tracking, and sharing to facilitate effective incident response and adequate medical care delivery to all populations.</w:t>
            </w:r>
          </w:p>
          <w:p w14:paraId="074CB183" w14:textId="77777777" w:rsidR="00C16578" w:rsidRDefault="00C16578" w:rsidP="00C16578">
            <w:pPr>
              <w:pStyle w:val="ListParagraph"/>
              <w:numPr>
                <w:ilvl w:val="0"/>
                <w:numId w:val="8"/>
              </w:numPr>
              <w:spacing w:before="60" w:after="60"/>
              <w:rPr>
                <w:szCs w:val="24"/>
              </w:rPr>
            </w:pPr>
            <w:r w:rsidRPr="00C16578">
              <w:rPr>
                <w:szCs w:val="24"/>
              </w:rPr>
              <w:t>In accordance with jurisdictional plans, policies, and procedures, incident response personnel will identify the process of maintaining a constant flow of incident and health-related information utilizing appropriate protocols and systems used during incident response.</w:t>
            </w:r>
          </w:p>
          <w:p w14:paraId="001B695D" w14:textId="37D75917" w:rsidR="00C804A2" w:rsidRPr="00D6185A" w:rsidRDefault="00C16578" w:rsidP="00C16578">
            <w:pPr>
              <w:pStyle w:val="ListParagraph"/>
              <w:numPr>
                <w:ilvl w:val="0"/>
                <w:numId w:val="8"/>
              </w:numPr>
              <w:spacing w:before="60" w:after="60"/>
              <w:rPr>
                <w:szCs w:val="24"/>
              </w:rPr>
            </w:pPr>
            <w:r w:rsidRPr="00C16578">
              <w:rPr>
                <w:szCs w:val="24"/>
              </w:rPr>
              <w:t>In accordance with jurisdictional plans, policies, and procedures, public and private entities will identify the process of sending, receiving, and updating timely, reliable, and actionable health and safety information in relation to a severe weather incident through clear and consistent information delivery methods.</w:t>
            </w:r>
          </w:p>
        </w:tc>
      </w:tr>
      <w:tr w:rsidR="00525816" w:rsidRPr="00D6185A" w14:paraId="61550068" w14:textId="77777777" w:rsidTr="008A6F44">
        <w:trPr>
          <w:trHeight w:val="432"/>
          <w:jc w:val="center"/>
        </w:trPr>
        <w:tc>
          <w:tcPr>
            <w:tcW w:w="5000" w:type="pct"/>
            <w:gridSpan w:val="4"/>
          </w:tcPr>
          <w:p w14:paraId="13272F79" w14:textId="05ACB784" w:rsidR="00405EA5" w:rsidRPr="00D6185A" w:rsidRDefault="00DB27B5" w:rsidP="00405EA5">
            <w:pPr>
              <w:spacing w:before="60" w:after="60"/>
              <w:rPr>
                <w:szCs w:val="24"/>
              </w:rPr>
            </w:pPr>
            <w:r w:rsidRPr="00405EA5">
              <w:rPr>
                <w:i/>
                <w:szCs w:val="24"/>
              </w:rPr>
              <w:t>HPP</w:t>
            </w:r>
            <w:r w:rsidR="005E4BDC" w:rsidRPr="00405EA5">
              <w:rPr>
                <w:i/>
                <w:szCs w:val="24"/>
              </w:rPr>
              <w:t xml:space="preserve"> </w:t>
            </w:r>
            <w:r w:rsidR="00525816" w:rsidRPr="00405EA5">
              <w:rPr>
                <w:i/>
                <w:szCs w:val="24"/>
              </w:rPr>
              <w:t>Capability:</w:t>
            </w:r>
            <w:r w:rsidR="00525816" w:rsidRPr="00405EA5">
              <w:rPr>
                <w:b/>
                <w:szCs w:val="24"/>
              </w:rPr>
              <w:t xml:space="preserve">  </w:t>
            </w:r>
            <w:r w:rsidR="006B2B7D" w:rsidRPr="00405EA5">
              <w:rPr>
                <w:b/>
                <w:szCs w:val="24"/>
              </w:rPr>
              <w:t>Health Care and Medical Response Coordination</w:t>
            </w:r>
            <w:r w:rsidR="00370845" w:rsidRPr="00405EA5">
              <w:rPr>
                <w:b/>
                <w:szCs w:val="24"/>
              </w:rPr>
              <w:t xml:space="preserve">: </w:t>
            </w:r>
            <w:r w:rsidR="00370845" w:rsidRPr="00405EA5">
              <w:rPr>
                <w:szCs w:val="24"/>
              </w:rPr>
              <w:t>Health care organizations, the HCC, their jurisdiction(s), and the ESF-8 lead agency plan and collaborate to share and analyze information, manage and share resources, and coordinate strategies to deliver medical care to all populations during emergencies and planned events.</w:t>
            </w:r>
          </w:p>
        </w:tc>
      </w:tr>
      <w:tr w:rsidR="00405EA5" w:rsidRPr="00D6185A" w14:paraId="6317A59D" w14:textId="77777777" w:rsidTr="008A6F44">
        <w:trPr>
          <w:trHeight w:val="432"/>
          <w:jc w:val="center"/>
        </w:trPr>
        <w:tc>
          <w:tcPr>
            <w:tcW w:w="5000" w:type="pct"/>
            <w:gridSpan w:val="4"/>
          </w:tcPr>
          <w:p w14:paraId="1D397671" w14:textId="77777777" w:rsidR="00405EA5" w:rsidRPr="00405EA5" w:rsidRDefault="00405EA5" w:rsidP="00405EA5">
            <w:pPr>
              <w:spacing w:before="60" w:after="60"/>
              <w:rPr>
                <w:szCs w:val="24"/>
              </w:rPr>
            </w:pPr>
            <w:r>
              <w:rPr>
                <w:szCs w:val="24"/>
              </w:rPr>
              <w:t xml:space="preserve">HPP Component/Objective 2: </w:t>
            </w:r>
            <w:r w:rsidRPr="00405EA5">
              <w:rPr>
                <w:b/>
                <w:i/>
                <w:szCs w:val="24"/>
              </w:rPr>
              <w:t>Utilize Information Sharing Procedures and Platforms</w:t>
            </w:r>
          </w:p>
          <w:p w14:paraId="6CE9DEDD" w14:textId="3E924DD9" w:rsidR="00405EA5" w:rsidRPr="00405EA5" w:rsidRDefault="00405EA5" w:rsidP="00405EA5">
            <w:pPr>
              <w:spacing w:before="60" w:after="60"/>
              <w:rPr>
                <w:szCs w:val="24"/>
              </w:rPr>
            </w:pPr>
            <w:r w:rsidRPr="00405EA5">
              <w:rPr>
                <w:szCs w:val="24"/>
              </w:rPr>
              <w:t>Effective response coordination relies on information sharing to establish a common operating picture. Information sharing is the ability to share real-time information related to the emergency, the current-state of the health care delivery system, and situational awareness across the various response organizations and levels of government (federal, state, local). The HCC’s development of information sharing procedures and use of interoperable and redundant platforms is critical to successful response.</w:t>
            </w:r>
          </w:p>
        </w:tc>
      </w:tr>
      <w:tr w:rsidR="001B472F" w:rsidRPr="00D6185A" w14:paraId="3697F066" w14:textId="77777777" w:rsidTr="00524D15">
        <w:trPr>
          <w:trHeight w:val="432"/>
          <w:jc w:val="center"/>
        </w:trPr>
        <w:tc>
          <w:tcPr>
            <w:tcW w:w="5000" w:type="pct"/>
            <w:gridSpan w:val="4"/>
            <w:shd w:val="clear" w:color="auto" w:fill="E5B8B7" w:themeFill="accent2" w:themeFillTint="66"/>
            <w:vAlign w:val="center"/>
          </w:tcPr>
          <w:p w14:paraId="794DBEA6" w14:textId="1D42D9CE" w:rsidR="001B472F" w:rsidRPr="00D6185A" w:rsidRDefault="001B472F" w:rsidP="002B2075">
            <w:pPr>
              <w:spacing w:before="60" w:after="60"/>
              <w:rPr>
                <w:szCs w:val="24"/>
              </w:rPr>
            </w:pPr>
            <w:r w:rsidRPr="00D6185A">
              <w:rPr>
                <w:b/>
                <w:szCs w:val="24"/>
              </w:rPr>
              <w:t xml:space="preserve">Organizational Capability Target 1:  </w:t>
            </w:r>
            <w:r w:rsidR="006B2B7D" w:rsidRPr="00D6185A">
              <w:rPr>
                <w:b/>
                <w:szCs w:val="24"/>
              </w:rPr>
              <w:t xml:space="preserve">Identify Information Access and Data Protection Procedures </w:t>
            </w:r>
          </w:p>
        </w:tc>
      </w:tr>
      <w:tr w:rsidR="001B472F" w:rsidRPr="00D6185A" w14:paraId="4A0010F2" w14:textId="77777777" w:rsidTr="00405EA5">
        <w:trPr>
          <w:trHeight w:val="432"/>
          <w:jc w:val="center"/>
        </w:trPr>
        <w:tc>
          <w:tcPr>
            <w:tcW w:w="811" w:type="pct"/>
            <w:vAlign w:val="center"/>
          </w:tcPr>
          <w:p w14:paraId="7DEE49E6" w14:textId="77777777" w:rsidR="001B472F" w:rsidRPr="00D6185A" w:rsidRDefault="001B472F" w:rsidP="00525816">
            <w:pPr>
              <w:spacing w:before="60" w:after="60"/>
              <w:rPr>
                <w:i/>
                <w:szCs w:val="24"/>
              </w:rPr>
            </w:pPr>
            <w:r w:rsidRPr="00D6185A">
              <w:rPr>
                <w:i/>
                <w:szCs w:val="24"/>
              </w:rPr>
              <w:t>Critical Task:</w:t>
            </w:r>
          </w:p>
        </w:tc>
        <w:tc>
          <w:tcPr>
            <w:tcW w:w="4189" w:type="pct"/>
            <w:gridSpan w:val="3"/>
            <w:vAlign w:val="center"/>
          </w:tcPr>
          <w:p w14:paraId="3995FC62" w14:textId="725B66CA" w:rsidR="001B472F" w:rsidRPr="00D6185A" w:rsidRDefault="000F0168" w:rsidP="00525816">
            <w:pPr>
              <w:spacing w:before="60" w:after="60"/>
              <w:rPr>
                <w:szCs w:val="24"/>
              </w:rPr>
            </w:pPr>
            <w:r>
              <w:rPr>
                <w:szCs w:val="24"/>
              </w:rPr>
              <w:t>Discuss coordination</w:t>
            </w:r>
            <w:r w:rsidR="006B2B7D" w:rsidRPr="00D6185A">
              <w:rPr>
                <w:szCs w:val="24"/>
              </w:rPr>
              <w:t xml:space="preserve"> with state and local authorities to identify information access and data protection procedures.</w:t>
            </w:r>
          </w:p>
        </w:tc>
      </w:tr>
      <w:tr w:rsidR="001B472F" w:rsidRPr="00D6185A" w14:paraId="51653737" w14:textId="77777777" w:rsidTr="00405EA5">
        <w:trPr>
          <w:trHeight w:val="432"/>
          <w:jc w:val="center"/>
        </w:trPr>
        <w:tc>
          <w:tcPr>
            <w:tcW w:w="811" w:type="pct"/>
            <w:vAlign w:val="center"/>
          </w:tcPr>
          <w:p w14:paraId="03F6ACB0" w14:textId="5E8332B7" w:rsidR="001B472F" w:rsidRPr="00D6185A" w:rsidRDefault="00447161" w:rsidP="00525816">
            <w:pPr>
              <w:spacing w:before="60" w:after="60"/>
              <w:rPr>
                <w:b/>
                <w:szCs w:val="24"/>
              </w:rPr>
            </w:pPr>
            <w:r w:rsidRPr="00D6185A">
              <w:rPr>
                <w:b/>
                <w:szCs w:val="24"/>
              </w:rPr>
              <w:t>Source</w:t>
            </w:r>
            <w:r w:rsidR="001B472F" w:rsidRPr="00D6185A">
              <w:rPr>
                <w:b/>
                <w:szCs w:val="24"/>
              </w:rPr>
              <w:t>:</w:t>
            </w:r>
          </w:p>
        </w:tc>
        <w:tc>
          <w:tcPr>
            <w:tcW w:w="4189" w:type="pct"/>
            <w:gridSpan w:val="3"/>
            <w:vAlign w:val="center"/>
          </w:tcPr>
          <w:p w14:paraId="294B8620" w14:textId="226850F4" w:rsidR="001B472F" w:rsidRPr="00D6185A" w:rsidRDefault="00447161" w:rsidP="00447161">
            <w:pPr>
              <w:spacing w:before="60" w:after="60"/>
              <w:rPr>
                <w:szCs w:val="24"/>
              </w:rPr>
            </w:pPr>
            <w:r w:rsidRPr="00D6185A">
              <w:rPr>
                <w:szCs w:val="24"/>
              </w:rPr>
              <w:t>ASPR Health Care Preparedness and Response Capabilities</w:t>
            </w:r>
            <w:r w:rsidR="00C16578">
              <w:rPr>
                <w:szCs w:val="24"/>
              </w:rPr>
              <w:t>, 2017 – 2022; Local plans, policies, and procedures</w:t>
            </w:r>
          </w:p>
        </w:tc>
      </w:tr>
      <w:tr w:rsidR="001B472F" w:rsidRPr="00D6185A" w14:paraId="4018FF87" w14:textId="77777777" w:rsidTr="00524D15">
        <w:trPr>
          <w:trHeight w:val="432"/>
          <w:jc w:val="center"/>
        </w:trPr>
        <w:tc>
          <w:tcPr>
            <w:tcW w:w="5000" w:type="pct"/>
            <w:gridSpan w:val="4"/>
            <w:shd w:val="clear" w:color="auto" w:fill="E5B8B7" w:themeFill="accent2" w:themeFillTint="66"/>
            <w:vAlign w:val="center"/>
          </w:tcPr>
          <w:p w14:paraId="33041EA9" w14:textId="3992518B" w:rsidR="001B472F" w:rsidRPr="00D6185A" w:rsidRDefault="001B472F" w:rsidP="002B2075">
            <w:pPr>
              <w:spacing w:before="60" w:after="60"/>
              <w:rPr>
                <w:b/>
                <w:szCs w:val="24"/>
              </w:rPr>
            </w:pPr>
            <w:r w:rsidRPr="00D6185A">
              <w:rPr>
                <w:b/>
                <w:szCs w:val="24"/>
              </w:rPr>
              <w:t xml:space="preserve">Organizational Capability Target 2:  </w:t>
            </w:r>
            <w:r w:rsidR="006B2B7D" w:rsidRPr="00D6185A">
              <w:rPr>
                <w:b/>
                <w:szCs w:val="24"/>
              </w:rPr>
              <w:t xml:space="preserve">Utilize Communications Systems and Platforms </w:t>
            </w:r>
          </w:p>
        </w:tc>
      </w:tr>
      <w:tr w:rsidR="001B472F" w:rsidRPr="00D6185A" w14:paraId="74BF1671" w14:textId="77777777" w:rsidTr="00405EA5">
        <w:trPr>
          <w:trHeight w:val="432"/>
          <w:jc w:val="center"/>
        </w:trPr>
        <w:tc>
          <w:tcPr>
            <w:tcW w:w="811" w:type="pct"/>
            <w:vAlign w:val="center"/>
          </w:tcPr>
          <w:p w14:paraId="1A0FB87C" w14:textId="77777777" w:rsidR="001B472F" w:rsidRPr="00D6185A" w:rsidRDefault="001B472F" w:rsidP="001B472F">
            <w:pPr>
              <w:spacing w:before="60" w:after="60"/>
              <w:rPr>
                <w:i/>
                <w:szCs w:val="24"/>
              </w:rPr>
            </w:pPr>
            <w:r w:rsidRPr="00D6185A">
              <w:rPr>
                <w:i/>
                <w:szCs w:val="24"/>
              </w:rPr>
              <w:lastRenderedPageBreak/>
              <w:t>Critical Task:</w:t>
            </w:r>
          </w:p>
        </w:tc>
        <w:tc>
          <w:tcPr>
            <w:tcW w:w="4189" w:type="pct"/>
            <w:gridSpan w:val="3"/>
            <w:vAlign w:val="center"/>
          </w:tcPr>
          <w:p w14:paraId="682529BD" w14:textId="03A8C136" w:rsidR="001B472F" w:rsidRPr="00D6185A" w:rsidRDefault="006B2B7D" w:rsidP="00DC15C6">
            <w:pPr>
              <w:spacing w:before="60" w:after="60"/>
              <w:rPr>
                <w:b/>
                <w:szCs w:val="24"/>
              </w:rPr>
            </w:pPr>
            <w:r w:rsidRPr="00D6185A">
              <w:rPr>
                <w:szCs w:val="24"/>
              </w:rPr>
              <w:t>Identify reliable, resilient, interoperable, and redundant information and communication systems and platforms (e.g., incident management software; bed and patient tracking systems and naming conventions; EMS information systems; municipal, hospital, and amateur radio system</w:t>
            </w:r>
            <w:r w:rsidR="00DC15C6" w:rsidRPr="00D6185A">
              <w:rPr>
                <w:szCs w:val="24"/>
              </w:rPr>
              <w:t>s; satellite telephones; etc.)</w:t>
            </w:r>
          </w:p>
        </w:tc>
      </w:tr>
      <w:tr w:rsidR="001B472F" w:rsidRPr="00D6185A" w14:paraId="29C1407C" w14:textId="77777777" w:rsidTr="00405EA5">
        <w:trPr>
          <w:trHeight w:val="432"/>
          <w:jc w:val="center"/>
        </w:trPr>
        <w:tc>
          <w:tcPr>
            <w:tcW w:w="811" w:type="pct"/>
            <w:vAlign w:val="center"/>
          </w:tcPr>
          <w:p w14:paraId="61CCE4A2" w14:textId="77777777" w:rsidR="001B472F" w:rsidRPr="00D6185A" w:rsidRDefault="001B472F" w:rsidP="001B472F">
            <w:pPr>
              <w:spacing w:before="60" w:after="60"/>
              <w:rPr>
                <w:i/>
                <w:szCs w:val="24"/>
              </w:rPr>
            </w:pPr>
            <w:r w:rsidRPr="00D6185A">
              <w:rPr>
                <w:i/>
                <w:szCs w:val="24"/>
              </w:rPr>
              <w:t>Critical Task:</w:t>
            </w:r>
          </w:p>
        </w:tc>
        <w:tc>
          <w:tcPr>
            <w:tcW w:w="4189" w:type="pct"/>
            <w:gridSpan w:val="3"/>
            <w:vAlign w:val="center"/>
          </w:tcPr>
          <w:p w14:paraId="0C6C1729" w14:textId="34D7A03C" w:rsidR="001B472F" w:rsidRPr="00D6185A" w:rsidRDefault="00DC15C6" w:rsidP="006B2B7D">
            <w:pPr>
              <w:spacing w:before="60" w:after="60"/>
              <w:rPr>
                <w:szCs w:val="24"/>
              </w:rPr>
            </w:pPr>
            <w:r w:rsidRPr="00D6185A">
              <w:rPr>
                <w:szCs w:val="24"/>
              </w:rPr>
              <w:t>Examine</w:t>
            </w:r>
            <w:r w:rsidR="006B2B7D" w:rsidRPr="00D6185A">
              <w:rPr>
                <w:szCs w:val="24"/>
              </w:rPr>
              <w:t xml:space="preserve"> ability to communicate among all HCC members, health care organizations, and the public (e.g., among hospitals, EMS, public safety answering points, emergency managers, public health agencies, skilled nursing facilities, and long-term care facilities)</w:t>
            </w:r>
          </w:p>
        </w:tc>
      </w:tr>
      <w:tr w:rsidR="001B472F" w:rsidRPr="00D6185A" w14:paraId="238D47F1" w14:textId="77777777" w:rsidTr="00405EA5">
        <w:trPr>
          <w:trHeight w:val="432"/>
          <w:jc w:val="center"/>
        </w:trPr>
        <w:tc>
          <w:tcPr>
            <w:tcW w:w="811" w:type="pct"/>
            <w:vAlign w:val="center"/>
          </w:tcPr>
          <w:p w14:paraId="75D39E8C" w14:textId="77777777" w:rsidR="001B472F" w:rsidRPr="00D6185A" w:rsidRDefault="001B472F" w:rsidP="001B472F">
            <w:pPr>
              <w:spacing w:before="60" w:after="60"/>
              <w:rPr>
                <w:i/>
                <w:szCs w:val="24"/>
              </w:rPr>
            </w:pPr>
            <w:r w:rsidRPr="00D6185A">
              <w:rPr>
                <w:i/>
                <w:szCs w:val="24"/>
              </w:rPr>
              <w:t>Critical Task:</w:t>
            </w:r>
          </w:p>
        </w:tc>
        <w:tc>
          <w:tcPr>
            <w:tcW w:w="4189" w:type="pct"/>
            <w:gridSpan w:val="3"/>
            <w:vAlign w:val="center"/>
          </w:tcPr>
          <w:p w14:paraId="52766854" w14:textId="5D42173E" w:rsidR="001B472F" w:rsidRPr="00D6185A" w:rsidRDefault="00DC15C6" w:rsidP="00DC15C6">
            <w:pPr>
              <w:spacing w:before="60" w:after="60"/>
              <w:rPr>
                <w:szCs w:val="24"/>
              </w:rPr>
            </w:pPr>
            <w:r w:rsidRPr="00D6185A">
              <w:rPr>
                <w:szCs w:val="24"/>
              </w:rPr>
              <w:t xml:space="preserve">Identify </w:t>
            </w:r>
            <w:r w:rsidR="006B2B7D" w:rsidRPr="00D6185A">
              <w:rPr>
                <w:szCs w:val="24"/>
              </w:rPr>
              <w:t>alternate communications methods</w:t>
            </w:r>
            <w:r w:rsidRPr="00D6185A">
              <w:rPr>
                <w:szCs w:val="24"/>
              </w:rPr>
              <w:t xml:space="preserve"> in the event of communication disruptions</w:t>
            </w:r>
          </w:p>
        </w:tc>
      </w:tr>
      <w:tr w:rsidR="001B472F" w:rsidRPr="00D6185A" w14:paraId="201D535B" w14:textId="77777777" w:rsidTr="00405EA5">
        <w:trPr>
          <w:trHeight w:val="432"/>
          <w:jc w:val="center"/>
        </w:trPr>
        <w:tc>
          <w:tcPr>
            <w:tcW w:w="811" w:type="pct"/>
            <w:vAlign w:val="center"/>
          </w:tcPr>
          <w:p w14:paraId="1BDDCAB1" w14:textId="77777777" w:rsidR="001B472F" w:rsidRPr="00D6185A" w:rsidRDefault="001B472F" w:rsidP="001B472F">
            <w:pPr>
              <w:spacing w:before="60" w:after="60"/>
              <w:rPr>
                <w:b/>
                <w:szCs w:val="24"/>
              </w:rPr>
            </w:pPr>
            <w:r w:rsidRPr="00D6185A">
              <w:rPr>
                <w:b/>
                <w:szCs w:val="24"/>
              </w:rPr>
              <w:t>Source(s):</w:t>
            </w:r>
          </w:p>
        </w:tc>
        <w:tc>
          <w:tcPr>
            <w:tcW w:w="4189" w:type="pct"/>
            <w:gridSpan w:val="3"/>
            <w:vAlign w:val="center"/>
          </w:tcPr>
          <w:p w14:paraId="26B59B8E" w14:textId="0FD390A1" w:rsidR="001B472F" w:rsidRPr="00D6185A" w:rsidRDefault="00447161" w:rsidP="001B472F">
            <w:pPr>
              <w:spacing w:before="60" w:after="60"/>
              <w:rPr>
                <w:szCs w:val="24"/>
                <w:highlight w:val="lightGray"/>
              </w:rPr>
            </w:pPr>
            <w:r w:rsidRPr="00D6185A">
              <w:rPr>
                <w:szCs w:val="24"/>
              </w:rPr>
              <w:t>ASPR Health Care Preparedness and Response Capabilities</w:t>
            </w:r>
            <w:r w:rsidR="00405EA5">
              <w:rPr>
                <w:szCs w:val="24"/>
              </w:rPr>
              <w:t>, 2017 – 2022</w:t>
            </w:r>
            <w:r w:rsidR="00C16578">
              <w:rPr>
                <w:szCs w:val="24"/>
              </w:rPr>
              <w:t>; Local plans, policies, and procedures</w:t>
            </w:r>
          </w:p>
        </w:tc>
      </w:tr>
      <w:tr w:rsidR="00405EA5" w:rsidRPr="00D6185A" w14:paraId="62C00D3C" w14:textId="77777777" w:rsidTr="00405EA5">
        <w:trPr>
          <w:trHeight w:val="432"/>
          <w:jc w:val="center"/>
        </w:trPr>
        <w:tc>
          <w:tcPr>
            <w:tcW w:w="5000" w:type="pct"/>
            <w:gridSpan w:val="4"/>
            <w:vAlign w:val="center"/>
          </w:tcPr>
          <w:p w14:paraId="37956251" w14:textId="77777777" w:rsidR="00405EA5" w:rsidRPr="00405EA5" w:rsidRDefault="00405EA5" w:rsidP="00405EA5">
            <w:pPr>
              <w:spacing w:before="60" w:after="60"/>
              <w:rPr>
                <w:szCs w:val="24"/>
              </w:rPr>
            </w:pPr>
            <w:r>
              <w:rPr>
                <w:szCs w:val="24"/>
              </w:rPr>
              <w:t xml:space="preserve">HPP Component/Objective 3: </w:t>
            </w:r>
            <w:r w:rsidRPr="00405EA5">
              <w:rPr>
                <w:b/>
                <w:i/>
                <w:szCs w:val="24"/>
              </w:rPr>
              <w:t>Coordinate Response Strategy, Resources, and Communications</w:t>
            </w:r>
          </w:p>
          <w:p w14:paraId="4BD26D83" w14:textId="78E98D25" w:rsidR="00405EA5" w:rsidRPr="00D6185A" w:rsidRDefault="00405EA5" w:rsidP="001B472F">
            <w:pPr>
              <w:spacing w:before="60" w:after="60"/>
              <w:rPr>
                <w:szCs w:val="24"/>
              </w:rPr>
            </w:pPr>
            <w:r w:rsidRPr="00405EA5">
              <w:rPr>
                <w:szCs w:val="24"/>
              </w:rPr>
              <w:t>The HCC should coordinate its response strategies, track its members’ resource availability and needs, and clearly communicate this information to all HCC members, other stakeholders, and the ESF-8 lead agency. In addition, the HCC, in collaboration with its members, should provide coordinated, accurate, and timely information to health care providers and the public in order to ensure a successful emergency response.</w:t>
            </w:r>
          </w:p>
        </w:tc>
      </w:tr>
      <w:tr w:rsidR="001B472F" w:rsidRPr="00D6185A" w14:paraId="288CCDE1" w14:textId="77777777" w:rsidTr="00524D15">
        <w:trPr>
          <w:trHeight w:val="432"/>
          <w:jc w:val="center"/>
        </w:trPr>
        <w:tc>
          <w:tcPr>
            <w:tcW w:w="5000" w:type="pct"/>
            <w:gridSpan w:val="4"/>
            <w:shd w:val="clear" w:color="auto" w:fill="E5B8B7" w:themeFill="accent2" w:themeFillTint="66"/>
            <w:vAlign w:val="center"/>
          </w:tcPr>
          <w:p w14:paraId="20138973" w14:textId="7B8F0637" w:rsidR="001B472F" w:rsidRPr="00D6185A" w:rsidRDefault="001B472F" w:rsidP="002B2075">
            <w:pPr>
              <w:spacing w:before="60" w:after="60"/>
              <w:rPr>
                <w:szCs w:val="24"/>
              </w:rPr>
            </w:pPr>
            <w:r w:rsidRPr="00D6185A">
              <w:rPr>
                <w:b/>
                <w:szCs w:val="24"/>
              </w:rPr>
              <w:t xml:space="preserve">Organizational Capability Target 3:  </w:t>
            </w:r>
            <w:r w:rsidR="00333040" w:rsidRPr="00D6185A">
              <w:rPr>
                <w:b/>
                <w:szCs w:val="24"/>
              </w:rPr>
              <w:t xml:space="preserve">Activity 1. Identify and Coordinate Resource Needs during an Emergency </w:t>
            </w:r>
          </w:p>
        </w:tc>
      </w:tr>
      <w:tr w:rsidR="001B472F" w:rsidRPr="00D6185A" w14:paraId="5383276B" w14:textId="77777777" w:rsidTr="00405EA5">
        <w:trPr>
          <w:trHeight w:val="432"/>
          <w:jc w:val="center"/>
        </w:trPr>
        <w:tc>
          <w:tcPr>
            <w:tcW w:w="811" w:type="pct"/>
            <w:vAlign w:val="center"/>
          </w:tcPr>
          <w:p w14:paraId="733956F5" w14:textId="77777777" w:rsidR="001B472F" w:rsidRPr="00D6185A" w:rsidRDefault="001B472F" w:rsidP="001B472F">
            <w:pPr>
              <w:spacing w:before="60" w:after="60"/>
              <w:rPr>
                <w:i/>
                <w:szCs w:val="24"/>
              </w:rPr>
            </w:pPr>
            <w:r w:rsidRPr="00D6185A">
              <w:rPr>
                <w:i/>
                <w:szCs w:val="24"/>
              </w:rPr>
              <w:t>Critical Task:</w:t>
            </w:r>
          </w:p>
        </w:tc>
        <w:tc>
          <w:tcPr>
            <w:tcW w:w="4189" w:type="pct"/>
            <w:gridSpan w:val="3"/>
            <w:vAlign w:val="center"/>
          </w:tcPr>
          <w:p w14:paraId="79C9F32E" w14:textId="5251BAFC" w:rsidR="001B472F" w:rsidRPr="00D6185A" w:rsidRDefault="00954BF7" w:rsidP="00954BF7">
            <w:pPr>
              <w:spacing w:before="60" w:after="60"/>
              <w:rPr>
                <w:b/>
                <w:szCs w:val="24"/>
              </w:rPr>
            </w:pPr>
            <w:r w:rsidRPr="00D6185A">
              <w:rPr>
                <w:szCs w:val="24"/>
              </w:rPr>
              <w:t>Discuss how resources are m</w:t>
            </w:r>
            <w:r w:rsidR="00333040" w:rsidRPr="00D6185A">
              <w:rPr>
                <w:szCs w:val="24"/>
              </w:rPr>
              <w:t>anage</w:t>
            </w:r>
            <w:r w:rsidRPr="00D6185A">
              <w:rPr>
                <w:szCs w:val="24"/>
              </w:rPr>
              <w:t>d</w:t>
            </w:r>
            <w:r w:rsidR="00333040" w:rsidRPr="00D6185A">
              <w:rPr>
                <w:szCs w:val="24"/>
              </w:rPr>
              <w:t xml:space="preserve"> </w:t>
            </w:r>
            <w:r w:rsidRPr="00D6185A">
              <w:rPr>
                <w:szCs w:val="24"/>
              </w:rPr>
              <w:t>(logged, tracked, and vetted)</w:t>
            </w:r>
            <w:r w:rsidR="00333040" w:rsidRPr="00D6185A">
              <w:rPr>
                <w:szCs w:val="24"/>
              </w:rPr>
              <w:t xml:space="preserve"> in coordination with the ESF-8 lead agency </w:t>
            </w:r>
          </w:p>
        </w:tc>
      </w:tr>
      <w:tr w:rsidR="001B472F" w:rsidRPr="00D6185A" w14:paraId="1F6BABD0" w14:textId="77777777" w:rsidTr="00405EA5">
        <w:trPr>
          <w:trHeight w:val="432"/>
          <w:jc w:val="center"/>
        </w:trPr>
        <w:tc>
          <w:tcPr>
            <w:tcW w:w="811" w:type="pct"/>
            <w:vAlign w:val="center"/>
          </w:tcPr>
          <w:p w14:paraId="6CF024CC" w14:textId="77777777" w:rsidR="001B472F" w:rsidRPr="00D6185A" w:rsidRDefault="001B472F" w:rsidP="001B472F">
            <w:pPr>
              <w:spacing w:before="60" w:after="60"/>
              <w:rPr>
                <w:b/>
                <w:szCs w:val="24"/>
              </w:rPr>
            </w:pPr>
            <w:r w:rsidRPr="00D6185A">
              <w:rPr>
                <w:b/>
                <w:szCs w:val="24"/>
              </w:rPr>
              <w:t>Source(s):</w:t>
            </w:r>
          </w:p>
        </w:tc>
        <w:tc>
          <w:tcPr>
            <w:tcW w:w="4189" w:type="pct"/>
            <w:gridSpan w:val="3"/>
            <w:vAlign w:val="center"/>
          </w:tcPr>
          <w:p w14:paraId="53C09D9E" w14:textId="40001F8F" w:rsidR="001B472F" w:rsidRPr="00D6185A" w:rsidRDefault="00333040" w:rsidP="001B472F">
            <w:pPr>
              <w:spacing w:before="60" w:after="60"/>
              <w:rPr>
                <w:szCs w:val="24"/>
                <w:highlight w:val="lightGray"/>
              </w:rPr>
            </w:pPr>
            <w:r w:rsidRPr="00D6185A">
              <w:rPr>
                <w:szCs w:val="24"/>
              </w:rPr>
              <w:t>ASPR Health Care Preparedness and Response Capabilities</w:t>
            </w:r>
            <w:r w:rsidR="00405EA5">
              <w:rPr>
                <w:szCs w:val="24"/>
              </w:rPr>
              <w:t>, 2017 – 2022</w:t>
            </w:r>
          </w:p>
        </w:tc>
      </w:tr>
      <w:tr w:rsidR="00333040" w:rsidRPr="00D6185A" w14:paraId="05D0FE7F" w14:textId="77777777" w:rsidTr="001A24AF">
        <w:trPr>
          <w:trHeight w:val="432"/>
          <w:jc w:val="center"/>
        </w:trPr>
        <w:tc>
          <w:tcPr>
            <w:tcW w:w="5000" w:type="pct"/>
            <w:gridSpan w:val="4"/>
            <w:shd w:val="clear" w:color="auto" w:fill="E5B8B7" w:themeFill="accent2" w:themeFillTint="66"/>
            <w:vAlign w:val="center"/>
          </w:tcPr>
          <w:p w14:paraId="0E4EF31B" w14:textId="09BB6F2F" w:rsidR="00333040" w:rsidRPr="00D6185A" w:rsidRDefault="00333040" w:rsidP="002B2075">
            <w:pPr>
              <w:rPr>
                <w:szCs w:val="24"/>
              </w:rPr>
            </w:pPr>
            <w:r w:rsidRPr="00D6185A">
              <w:rPr>
                <w:b/>
                <w:szCs w:val="24"/>
              </w:rPr>
              <w:t xml:space="preserve">Organizational Capability Target 4: Communicate with the Public during an Emergency </w:t>
            </w:r>
          </w:p>
        </w:tc>
      </w:tr>
      <w:tr w:rsidR="00333040" w:rsidRPr="00D6185A" w14:paraId="0355CDF1" w14:textId="77777777" w:rsidTr="00405EA5">
        <w:trPr>
          <w:trHeight w:val="432"/>
          <w:jc w:val="center"/>
        </w:trPr>
        <w:tc>
          <w:tcPr>
            <w:tcW w:w="811" w:type="pct"/>
            <w:vAlign w:val="center"/>
          </w:tcPr>
          <w:p w14:paraId="3DBFFDA4" w14:textId="77777777" w:rsidR="00333040" w:rsidRPr="00D6185A" w:rsidRDefault="00333040" w:rsidP="001A24AF">
            <w:pPr>
              <w:spacing w:before="60" w:after="60"/>
              <w:rPr>
                <w:i/>
                <w:szCs w:val="24"/>
              </w:rPr>
            </w:pPr>
            <w:r w:rsidRPr="00D6185A">
              <w:rPr>
                <w:i/>
                <w:szCs w:val="24"/>
              </w:rPr>
              <w:t>Critical Task:</w:t>
            </w:r>
          </w:p>
        </w:tc>
        <w:tc>
          <w:tcPr>
            <w:tcW w:w="4189" w:type="pct"/>
            <w:gridSpan w:val="3"/>
            <w:vAlign w:val="center"/>
          </w:tcPr>
          <w:p w14:paraId="09725C91" w14:textId="2ACAB674" w:rsidR="00333040" w:rsidRPr="00D6185A" w:rsidRDefault="000F0168" w:rsidP="001A24AF">
            <w:pPr>
              <w:spacing w:before="60" w:after="60"/>
              <w:rPr>
                <w:b/>
                <w:szCs w:val="24"/>
              </w:rPr>
            </w:pPr>
            <w:r>
              <w:rPr>
                <w:szCs w:val="24"/>
              </w:rPr>
              <w:t>Discuss coordination of</w:t>
            </w:r>
            <w:r w:rsidR="00333040" w:rsidRPr="00D6185A">
              <w:rPr>
                <w:szCs w:val="24"/>
              </w:rPr>
              <w:t xml:space="preserve"> relevant health care information with the community’s Joint Information System (JIS) to ensure information is accurate, consistent, linguistically and culturally appropriate, and disseminated to the community using one voice</w:t>
            </w:r>
          </w:p>
        </w:tc>
      </w:tr>
      <w:tr w:rsidR="00333040" w:rsidRPr="00D6185A" w14:paraId="4C81C3E1" w14:textId="77777777" w:rsidTr="00405EA5">
        <w:trPr>
          <w:trHeight w:val="432"/>
          <w:jc w:val="center"/>
        </w:trPr>
        <w:tc>
          <w:tcPr>
            <w:tcW w:w="811" w:type="pct"/>
            <w:vAlign w:val="center"/>
          </w:tcPr>
          <w:p w14:paraId="2C27F865" w14:textId="77777777" w:rsidR="00333040" w:rsidRPr="00D6185A" w:rsidRDefault="00333040" w:rsidP="001A24AF">
            <w:pPr>
              <w:spacing w:before="60" w:after="60"/>
              <w:rPr>
                <w:b/>
                <w:szCs w:val="24"/>
              </w:rPr>
            </w:pPr>
            <w:r w:rsidRPr="00D6185A">
              <w:rPr>
                <w:b/>
                <w:szCs w:val="24"/>
              </w:rPr>
              <w:t>Source(s):</w:t>
            </w:r>
          </w:p>
        </w:tc>
        <w:tc>
          <w:tcPr>
            <w:tcW w:w="4189" w:type="pct"/>
            <w:gridSpan w:val="3"/>
            <w:vAlign w:val="center"/>
          </w:tcPr>
          <w:p w14:paraId="1470F55E" w14:textId="5758D10D" w:rsidR="00333040" w:rsidRPr="00D6185A" w:rsidRDefault="00333040" w:rsidP="001A24AF">
            <w:pPr>
              <w:spacing w:before="60" w:after="60"/>
              <w:rPr>
                <w:szCs w:val="24"/>
                <w:highlight w:val="lightGray"/>
              </w:rPr>
            </w:pPr>
            <w:r w:rsidRPr="00D6185A">
              <w:rPr>
                <w:szCs w:val="24"/>
              </w:rPr>
              <w:t>ASPR Health Care Preparedness and Response Capabilities</w:t>
            </w:r>
            <w:r w:rsidR="00405EA5">
              <w:rPr>
                <w:szCs w:val="24"/>
              </w:rPr>
              <w:t>, 2017 – 2022</w:t>
            </w:r>
            <w:r w:rsidR="00C16578">
              <w:rPr>
                <w:szCs w:val="24"/>
              </w:rPr>
              <w:t>; Local plans, policies, and procedures</w:t>
            </w:r>
          </w:p>
        </w:tc>
      </w:tr>
    </w:tbl>
    <w:p w14:paraId="6E48197E" w14:textId="77777777" w:rsidR="00FB101F" w:rsidRPr="00D6185A" w:rsidRDefault="00FB101F" w:rsidP="00955F17">
      <w:pPr>
        <w:spacing w:before="120" w:after="120"/>
        <w:rPr>
          <w:b/>
          <w:szCs w:val="24"/>
        </w:rPr>
        <w:sectPr w:rsidR="00FB101F" w:rsidRPr="00D6185A" w:rsidSect="006C6F5E">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720" w:right="1440" w:bottom="720" w:left="1440" w:header="720" w:footer="432" w:gutter="0"/>
          <w:cols w:space="720"/>
          <w:docGrid w:linePitch="360"/>
        </w:sectPr>
      </w:pPr>
    </w:p>
    <w:p w14:paraId="5F06F540" w14:textId="77777777" w:rsidR="00FB101F" w:rsidRPr="00D6185A" w:rsidRDefault="00FB101F" w:rsidP="00955F17">
      <w:pPr>
        <w:spacing w:before="120" w:after="120"/>
        <w:rPr>
          <w:b/>
          <w:szCs w:val="24"/>
        </w:rPr>
      </w:pPr>
    </w:p>
    <w:tbl>
      <w:tblPr>
        <w:tblStyle w:val="TableGrid"/>
        <w:tblW w:w="14400" w:type="dxa"/>
        <w:jc w:val="center"/>
        <w:tblLook w:val="04A0" w:firstRow="1" w:lastRow="0" w:firstColumn="1" w:lastColumn="0" w:noHBand="0" w:noVBand="1"/>
      </w:tblPr>
      <w:tblGrid>
        <w:gridCol w:w="2340"/>
        <w:gridCol w:w="3780"/>
        <w:gridCol w:w="7110"/>
        <w:gridCol w:w="1170"/>
      </w:tblGrid>
      <w:tr w:rsidR="00EA133A" w:rsidRPr="00D6185A" w14:paraId="1531031C" w14:textId="77777777" w:rsidTr="00D6185A">
        <w:trPr>
          <w:jc w:val="center"/>
        </w:trPr>
        <w:tc>
          <w:tcPr>
            <w:tcW w:w="2340" w:type="dxa"/>
            <w:shd w:val="clear" w:color="auto" w:fill="632423" w:themeFill="accent2" w:themeFillShade="80"/>
            <w:vAlign w:val="center"/>
          </w:tcPr>
          <w:p w14:paraId="28FB8978" w14:textId="77777777" w:rsidR="00C56E61" w:rsidRPr="00D6185A" w:rsidRDefault="00EA133A" w:rsidP="0021261C">
            <w:pPr>
              <w:jc w:val="center"/>
              <w:rPr>
                <w:b/>
                <w:color w:val="FFFFFF" w:themeColor="background1"/>
                <w:szCs w:val="24"/>
              </w:rPr>
            </w:pPr>
            <w:r w:rsidRPr="00D6185A">
              <w:rPr>
                <w:b/>
                <w:color w:val="FFFFFF" w:themeColor="background1"/>
                <w:szCs w:val="24"/>
              </w:rPr>
              <w:t xml:space="preserve">Organizational </w:t>
            </w:r>
            <w:r w:rsidR="00C56E61" w:rsidRPr="00D6185A">
              <w:rPr>
                <w:b/>
                <w:color w:val="FFFFFF" w:themeColor="background1"/>
                <w:szCs w:val="24"/>
              </w:rPr>
              <w:t>Capability Target</w:t>
            </w:r>
          </w:p>
        </w:tc>
        <w:tc>
          <w:tcPr>
            <w:tcW w:w="3780" w:type="dxa"/>
            <w:shd w:val="clear" w:color="auto" w:fill="632423" w:themeFill="accent2" w:themeFillShade="80"/>
            <w:vAlign w:val="center"/>
          </w:tcPr>
          <w:p w14:paraId="54D585AD" w14:textId="77777777" w:rsidR="00C56E61" w:rsidRPr="00D6185A" w:rsidRDefault="00C56E61" w:rsidP="00FF7445">
            <w:pPr>
              <w:jc w:val="center"/>
              <w:rPr>
                <w:b/>
                <w:color w:val="FFFFFF" w:themeColor="background1"/>
                <w:szCs w:val="24"/>
              </w:rPr>
            </w:pPr>
            <w:r w:rsidRPr="00D6185A">
              <w:rPr>
                <w:b/>
                <w:color w:val="FFFFFF" w:themeColor="background1"/>
                <w:szCs w:val="24"/>
              </w:rPr>
              <w:t>Associated Critical Tasks</w:t>
            </w:r>
          </w:p>
        </w:tc>
        <w:tc>
          <w:tcPr>
            <w:tcW w:w="7110" w:type="dxa"/>
            <w:shd w:val="clear" w:color="auto" w:fill="632423" w:themeFill="accent2" w:themeFillShade="80"/>
            <w:vAlign w:val="center"/>
          </w:tcPr>
          <w:p w14:paraId="1E7629D2" w14:textId="77777777" w:rsidR="00C56E61" w:rsidRPr="00D6185A" w:rsidRDefault="00C56E61" w:rsidP="00FF7445">
            <w:pPr>
              <w:jc w:val="center"/>
              <w:rPr>
                <w:b/>
                <w:color w:val="FFFFFF" w:themeColor="background1"/>
                <w:szCs w:val="24"/>
              </w:rPr>
            </w:pPr>
            <w:r w:rsidRPr="00D6185A">
              <w:rPr>
                <w:b/>
                <w:color w:val="FFFFFF" w:themeColor="background1"/>
                <w:szCs w:val="24"/>
              </w:rPr>
              <w:t xml:space="preserve">Observation Notes </w:t>
            </w:r>
            <w:r w:rsidR="00644FEE" w:rsidRPr="00D6185A">
              <w:rPr>
                <w:b/>
                <w:color w:val="FFFFFF" w:themeColor="background1"/>
                <w:szCs w:val="24"/>
              </w:rPr>
              <w:t xml:space="preserve">and </w:t>
            </w:r>
          </w:p>
          <w:p w14:paraId="362F2D50" w14:textId="77777777" w:rsidR="00C56E61" w:rsidRPr="00D6185A" w:rsidRDefault="00C56E61" w:rsidP="00FF7445">
            <w:pPr>
              <w:jc w:val="center"/>
              <w:rPr>
                <w:b/>
                <w:color w:val="FFFFFF" w:themeColor="background1"/>
                <w:szCs w:val="24"/>
              </w:rPr>
            </w:pPr>
            <w:r w:rsidRPr="00D6185A">
              <w:rPr>
                <w:b/>
                <w:color w:val="FFFFFF" w:themeColor="background1"/>
                <w:szCs w:val="24"/>
              </w:rPr>
              <w:t>Explanation of Rating</w:t>
            </w:r>
          </w:p>
        </w:tc>
        <w:tc>
          <w:tcPr>
            <w:tcW w:w="1170" w:type="dxa"/>
            <w:shd w:val="clear" w:color="auto" w:fill="632423" w:themeFill="accent2" w:themeFillShade="80"/>
          </w:tcPr>
          <w:p w14:paraId="4AEA2F9A" w14:textId="77777777" w:rsidR="00C56E61" w:rsidRPr="00D6185A" w:rsidRDefault="00C56E61" w:rsidP="00955F17">
            <w:pPr>
              <w:jc w:val="center"/>
              <w:rPr>
                <w:b/>
                <w:color w:val="FFFFFF" w:themeColor="background1"/>
                <w:szCs w:val="24"/>
              </w:rPr>
            </w:pPr>
            <w:r w:rsidRPr="00D6185A">
              <w:rPr>
                <w:b/>
                <w:color w:val="FFFFFF" w:themeColor="background1"/>
                <w:szCs w:val="24"/>
              </w:rPr>
              <w:t>Target Rating</w:t>
            </w:r>
          </w:p>
        </w:tc>
      </w:tr>
      <w:tr w:rsidR="00EA133A" w:rsidRPr="00D6185A" w14:paraId="0A2FBC21" w14:textId="77777777" w:rsidTr="00D6185A">
        <w:trPr>
          <w:trHeight w:val="2160"/>
          <w:jc w:val="center"/>
        </w:trPr>
        <w:tc>
          <w:tcPr>
            <w:tcW w:w="2340" w:type="dxa"/>
          </w:tcPr>
          <w:p w14:paraId="0460624E" w14:textId="39D136FF" w:rsidR="00C56E61" w:rsidRPr="00D6185A" w:rsidRDefault="00D6185A" w:rsidP="00644FEE">
            <w:pPr>
              <w:spacing w:before="60" w:after="60"/>
              <w:rPr>
                <w:szCs w:val="24"/>
              </w:rPr>
            </w:pPr>
            <w:r w:rsidRPr="00D6185A">
              <w:rPr>
                <w:b/>
                <w:szCs w:val="24"/>
              </w:rPr>
              <w:t>Identify Information Access and Data Protection Procedures</w:t>
            </w:r>
            <w:r w:rsidR="0038063E" w:rsidRPr="00D6185A">
              <w:rPr>
                <w:szCs w:val="24"/>
                <w:highlight w:val="lightGray"/>
              </w:rPr>
              <w:t xml:space="preserve"> </w:t>
            </w:r>
          </w:p>
        </w:tc>
        <w:tc>
          <w:tcPr>
            <w:tcW w:w="3780" w:type="dxa"/>
          </w:tcPr>
          <w:p w14:paraId="00A7FDD1" w14:textId="0E7AFB41" w:rsidR="00C56E61" w:rsidRPr="00D6185A" w:rsidRDefault="000F0168" w:rsidP="00EA133A">
            <w:pPr>
              <w:pStyle w:val="ListParagraph"/>
              <w:numPr>
                <w:ilvl w:val="0"/>
                <w:numId w:val="4"/>
              </w:numPr>
              <w:spacing w:before="60" w:after="60"/>
              <w:ind w:left="252" w:hanging="252"/>
              <w:rPr>
                <w:szCs w:val="24"/>
              </w:rPr>
            </w:pPr>
            <w:r>
              <w:rPr>
                <w:szCs w:val="24"/>
              </w:rPr>
              <w:t>Discuss coordination</w:t>
            </w:r>
            <w:r w:rsidR="00D6185A" w:rsidRPr="00D6185A">
              <w:rPr>
                <w:szCs w:val="24"/>
              </w:rPr>
              <w:t xml:space="preserve"> with state and local authorities to identify information access and data protection procedures.</w:t>
            </w:r>
          </w:p>
        </w:tc>
        <w:tc>
          <w:tcPr>
            <w:tcW w:w="7110" w:type="dxa"/>
          </w:tcPr>
          <w:p w14:paraId="47C0E63C" w14:textId="77777777" w:rsidR="00C56E61" w:rsidRPr="00D6185A" w:rsidRDefault="00C56E61" w:rsidP="00452029">
            <w:pPr>
              <w:rPr>
                <w:b/>
                <w:szCs w:val="24"/>
              </w:rPr>
            </w:pPr>
          </w:p>
        </w:tc>
        <w:tc>
          <w:tcPr>
            <w:tcW w:w="1170" w:type="dxa"/>
          </w:tcPr>
          <w:p w14:paraId="4E4D6530" w14:textId="77777777" w:rsidR="00C56E61" w:rsidRPr="00D6185A" w:rsidRDefault="00C56E61" w:rsidP="008D3B07">
            <w:pPr>
              <w:jc w:val="center"/>
              <w:rPr>
                <w:b/>
                <w:szCs w:val="24"/>
              </w:rPr>
            </w:pPr>
          </w:p>
        </w:tc>
      </w:tr>
      <w:tr w:rsidR="00D6185A" w:rsidRPr="00D6185A" w14:paraId="622F9ADE" w14:textId="77777777" w:rsidTr="00D6185A">
        <w:trPr>
          <w:trHeight w:val="800"/>
          <w:jc w:val="center"/>
        </w:trPr>
        <w:tc>
          <w:tcPr>
            <w:tcW w:w="2340" w:type="dxa"/>
            <w:tcBorders>
              <w:bottom w:val="single" w:sz="4" w:space="0" w:color="auto"/>
            </w:tcBorders>
          </w:tcPr>
          <w:p w14:paraId="12BBF7D7" w14:textId="62AFBF79" w:rsidR="00D6185A" w:rsidRPr="00D6185A" w:rsidRDefault="00D6185A" w:rsidP="00D6185A">
            <w:pPr>
              <w:rPr>
                <w:szCs w:val="24"/>
              </w:rPr>
            </w:pPr>
            <w:r w:rsidRPr="00D6185A">
              <w:rPr>
                <w:b/>
                <w:szCs w:val="24"/>
              </w:rPr>
              <w:t xml:space="preserve">Utilize Communications Systems and Platforms </w:t>
            </w:r>
          </w:p>
        </w:tc>
        <w:tc>
          <w:tcPr>
            <w:tcW w:w="3780" w:type="dxa"/>
            <w:tcBorders>
              <w:bottom w:val="single" w:sz="4" w:space="0" w:color="auto"/>
            </w:tcBorders>
            <w:vAlign w:val="center"/>
          </w:tcPr>
          <w:p w14:paraId="520F8E34" w14:textId="77777777" w:rsidR="00D6185A" w:rsidRPr="00D6185A" w:rsidRDefault="00D6185A" w:rsidP="00D6185A">
            <w:pPr>
              <w:pStyle w:val="ListParagraph"/>
              <w:numPr>
                <w:ilvl w:val="0"/>
                <w:numId w:val="4"/>
              </w:numPr>
              <w:spacing w:before="60" w:after="60"/>
              <w:ind w:left="252" w:hanging="252"/>
              <w:rPr>
                <w:szCs w:val="24"/>
              </w:rPr>
            </w:pPr>
            <w:r w:rsidRPr="00D6185A">
              <w:rPr>
                <w:szCs w:val="24"/>
              </w:rPr>
              <w:t>Identify reliable, resilient, interoperable, and redundant information and communication systems and platforms (e.g., incident management software; bed and patient tracking systems and naming conventions; EMS information systems; municipal, hospital, and amateur radio systems; satellite telephones; etc.)</w:t>
            </w:r>
          </w:p>
          <w:p w14:paraId="5AF38B12" w14:textId="77777777" w:rsidR="00D6185A" w:rsidRPr="00D6185A" w:rsidRDefault="00D6185A" w:rsidP="00D6185A">
            <w:pPr>
              <w:pStyle w:val="ListParagraph"/>
              <w:numPr>
                <w:ilvl w:val="0"/>
                <w:numId w:val="4"/>
              </w:numPr>
              <w:spacing w:before="60" w:after="60"/>
              <w:ind w:left="252" w:hanging="252"/>
              <w:rPr>
                <w:szCs w:val="24"/>
              </w:rPr>
            </w:pPr>
            <w:r w:rsidRPr="00D6185A">
              <w:rPr>
                <w:szCs w:val="24"/>
              </w:rPr>
              <w:t>Examine ability to communicate among all HCC members, health care organizations, and the public (e.g., among hospitals, EMS, public safety answering points, emergency managers, public health agencies, skilled nursing facilities, and long-term care facilities)</w:t>
            </w:r>
          </w:p>
          <w:p w14:paraId="501FC095" w14:textId="4C2B27C7" w:rsidR="00D6185A" w:rsidRPr="00D6185A" w:rsidRDefault="00D6185A" w:rsidP="00D6185A">
            <w:pPr>
              <w:pStyle w:val="ListParagraph"/>
              <w:numPr>
                <w:ilvl w:val="0"/>
                <w:numId w:val="4"/>
              </w:numPr>
              <w:spacing w:before="60" w:after="60"/>
              <w:ind w:left="252" w:hanging="252"/>
              <w:rPr>
                <w:szCs w:val="24"/>
              </w:rPr>
            </w:pPr>
            <w:r w:rsidRPr="00D6185A">
              <w:rPr>
                <w:szCs w:val="24"/>
              </w:rPr>
              <w:t>Identify alternate communications methods in the event of communication disruptions</w:t>
            </w:r>
          </w:p>
        </w:tc>
        <w:tc>
          <w:tcPr>
            <w:tcW w:w="7110" w:type="dxa"/>
          </w:tcPr>
          <w:p w14:paraId="6D2BE6EC" w14:textId="77777777" w:rsidR="00D6185A" w:rsidRPr="00D6185A" w:rsidRDefault="00D6185A" w:rsidP="00D6185A">
            <w:pPr>
              <w:rPr>
                <w:b/>
                <w:szCs w:val="24"/>
              </w:rPr>
            </w:pPr>
          </w:p>
        </w:tc>
        <w:tc>
          <w:tcPr>
            <w:tcW w:w="1170" w:type="dxa"/>
          </w:tcPr>
          <w:p w14:paraId="4846E0EC" w14:textId="77777777" w:rsidR="00D6185A" w:rsidRPr="00D6185A" w:rsidRDefault="00D6185A" w:rsidP="00D6185A">
            <w:pPr>
              <w:jc w:val="center"/>
              <w:rPr>
                <w:b/>
                <w:szCs w:val="24"/>
              </w:rPr>
            </w:pPr>
          </w:p>
        </w:tc>
      </w:tr>
      <w:tr w:rsidR="00D6185A" w:rsidRPr="00D6185A" w14:paraId="78904C65" w14:textId="77777777" w:rsidTr="00D6185A">
        <w:trPr>
          <w:trHeight w:val="2160"/>
          <w:jc w:val="center"/>
        </w:trPr>
        <w:tc>
          <w:tcPr>
            <w:tcW w:w="2340" w:type="dxa"/>
            <w:tcBorders>
              <w:bottom w:val="single" w:sz="4" w:space="0" w:color="auto"/>
            </w:tcBorders>
          </w:tcPr>
          <w:p w14:paraId="79E1497A" w14:textId="59F25DCB" w:rsidR="00D6185A" w:rsidRPr="00D6185A" w:rsidRDefault="00D6185A" w:rsidP="00D6185A">
            <w:pPr>
              <w:rPr>
                <w:szCs w:val="24"/>
              </w:rPr>
            </w:pPr>
            <w:r w:rsidRPr="00D6185A">
              <w:rPr>
                <w:b/>
                <w:szCs w:val="24"/>
              </w:rPr>
              <w:lastRenderedPageBreak/>
              <w:t xml:space="preserve">Identify and Coordinate Resource Needs during an Emergency </w:t>
            </w:r>
          </w:p>
        </w:tc>
        <w:tc>
          <w:tcPr>
            <w:tcW w:w="3780" w:type="dxa"/>
            <w:tcBorders>
              <w:bottom w:val="single" w:sz="4" w:space="0" w:color="auto"/>
            </w:tcBorders>
          </w:tcPr>
          <w:p w14:paraId="52CCD264" w14:textId="628A7B1F" w:rsidR="00D6185A" w:rsidRPr="00D6185A" w:rsidRDefault="00D6185A" w:rsidP="00D6185A">
            <w:pPr>
              <w:pStyle w:val="ListParagraph"/>
              <w:numPr>
                <w:ilvl w:val="0"/>
                <w:numId w:val="4"/>
              </w:numPr>
              <w:spacing w:before="60" w:after="60"/>
              <w:ind w:left="252" w:hanging="252"/>
              <w:rPr>
                <w:szCs w:val="24"/>
              </w:rPr>
            </w:pPr>
            <w:r w:rsidRPr="00D6185A">
              <w:rPr>
                <w:szCs w:val="24"/>
              </w:rPr>
              <w:t>Discuss how resources are managed (logged, tracked, and vetted) in coordination with the ESF-8 lead agency</w:t>
            </w:r>
          </w:p>
        </w:tc>
        <w:tc>
          <w:tcPr>
            <w:tcW w:w="7110" w:type="dxa"/>
            <w:tcBorders>
              <w:bottom w:val="single" w:sz="4" w:space="0" w:color="auto"/>
            </w:tcBorders>
          </w:tcPr>
          <w:p w14:paraId="16B036F3" w14:textId="77777777" w:rsidR="00D6185A" w:rsidRPr="00D6185A" w:rsidRDefault="00D6185A" w:rsidP="00D6185A">
            <w:pPr>
              <w:rPr>
                <w:b/>
                <w:szCs w:val="24"/>
              </w:rPr>
            </w:pPr>
          </w:p>
        </w:tc>
        <w:tc>
          <w:tcPr>
            <w:tcW w:w="1170" w:type="dxa"/>
          </w:tcPr>
          <w:p w14:paraId="0138BBFB" w14:textId="77777777" w:rsidR="00D6185A" w:rsidRPr="00D6185A" w:rsidRDefault="00D6185A" w:rsidP="00D6185A">
            <w:pPr>
              <w:jc w:val="center"/>
              <w:rPr>
                <w:b/>
                <w:szCs w:val="24"/>
              </w:rPr>
            </w:pPr>
          </w:p>
        </w:tc>
      </w:tr>
      <w:tr w:rsidR="00D6185A" w:rsidRPr="00D6185A" w14:paraId="1CFB98C8" w14:textId="77777777" w:rsidTr="00D6185A">
        <w:trPr>
          <w:trHeight w:val="2160"/>
          <w:jc w:val="center"/>
        </w:trPr>
        <w:tc>
          <w:tcPr>
            <w:tcW w:w="2340" w:type="dxa"/>
            <w:tcBorders>
              <w:bottom w:val="single" w:sz="4" w:space="0" w:color="auto"/>
            </w:tcBorders>
          </w:tcPr>
          <w:p w14:paraId="04EFAA85" w14:textId="5B6DBAA9" w:rsidR="00D6185A" w:rsidRPr="00D6185A" w:rsidRDefault="00D6185A" w:rsidP="00D6185A">
            <w:pPr>
              <w:rPr>
                <w:szCs w:val="24"/>
              </w:rPr>
            </w:pPr>
            <w:r w:rsidRPr="00D6185A">
              <w:rPr>
                <w:b/>
                <w:szCs w:val="24"/>
              </w:rPr>
              <w:t xml:space="preserve">Communicate with the Public during an Emergency </w:t>
            </w:r>
          </w:p>
        </w:tc>
        <w:tc>
          <w:tcPr>
            <w:tcW w:w="3780" w:type="dxa"/>
            <w:tcBorders>
              <w:bottom w:val="single" w:sz="4" w:space="0" w:color="auto"/>
            </w:tcBorders>
            <w:vAlign w:val="center"/>
          </w:tcPr>
          <w:p w14:paraId="796D7074" w14:textId="65046744" w:rsidR="00D6185A" w:rsidRPr="00D6185A" w:rsidRDefault="000F0168" w:rsidP="00D6185A">
            <w:pPr>
              <w:pStyle w:val="ListParagraph"/>
              <w:numPr>
                <w:ilvl w:val="0"/>
                <w:numId w:val="4"/>
              </w:numPr>
              <w:spacing w:before="60" w:after="60"/>
              <w:ind w:left="252" w:hanging="252"/>
              <w:rPr>
                <w:szCs w:val="24"/>
              </w:rPr>
            </w:pPr>
            <w:r>
              <w:rPr>
                <w:szCs w:val="24"/>
              </w:rPr>
              <w:t>Discuss coordination of</w:t>
            </w:r>
            <w:r w:rsidR="00D6185A" w:rsidRPr="00D6185A">
              <w:rPr>
                <w:szCs w:val="24"/>
              </w:rPr>
              <w:t xml:space="preserve"> relevant health care information with the community’s Joint Information System (JIS) to ensure information is accurate, consistent, linguistically and culturally appropriate, and disseminated to the community using one voice</w:t>
            </w:r>
          </w:p>
        </w:tc>
        <w:tc>
          <w:tcPr>
            <w:tcW w:w="7110" w:type="dxa"/>
            <w:tcBorders>
              <w:bottom w:val="single" w:sz="4" w:space="0" w:color="auto"/>
            </w:tcBorders>
          </w:tcPr>
          <w:p w14:paraId="767FFE8F" w14:textId="77777777" w:rsidR="00D6185A" w:rsidRPr="00D6185A" w:rsidRDefault="00D6185A" w:rsidP="00D6185A">
            <w:pPr>
              <w:rPr>
                <w:rStyle w:val="A5"/>
                <w:rFonts w:cs="Times New Roman"/>
                <w:sz w:val="24"/>
                <w:szCs w:val="24"/>
              </w:rPr>
            </w:pPr>
          </w:p>
        </w:tc>
        <w:tc>
          <w:tcPr>
            <w:tcW w:w="1170" w:type="dxa"/>
          </w:tcPr>
          <w:p w14:paraId="2755ADDC" w14:textId="77777777" w:rsidR="00D6185A" w:rsidRPr="00D6185A" w:rsidRDefault="00D6185A" w:rsidP="00D6185A">
            <w:pPr>
              <w:jc w:val="center"/>
              <w:rPr>
                <w:b/>
                <w:szCs w:val="24"/>
              </w:rPr>
            </w:pPr>
          </w:p>
        </w:tc>
      </w:tr>
      <w:tr w:rsidR="00D6185A" w:rsidRPr="00D6185A" w14:paraId="25B1EFE1" w14:textId="77777777" w:rsidTr="00D6185A">
        <w:trPr>
          <w:trHeight w:val="530"/>
          <w:jc w:val="center"/>
        </w:trPr>
        <w:tc>
          <w:tcPr>
            <w:tcW w:w="2340" w:type="dxa"/>
            <w:tcBorders>
              <w:top w:val="single" w:sz="4" w:space="0" w:color="auto"/>
              <w:left w:val="nil"/>
              <w:bottom w:val="nil"/>
              <w:right w:val="nil"/>
            </w:tcBorders>
          </w:tcPr>
          <w:p w14:paraId="7B20EB8C" w14:textId="77777777" w:rsidR="00D6185A" w:rsidRPr="00D6185A" w:rsidRDefault="00D6185A" w:rsidP="00D6185A">
            <w:pPr>
              <w:rPr>
                <w:szCs w:val="24"/>
                <w:highlight w:val="lightGray"/>
              </w:rPr>
            </w:pPr>
          </w:p>
        </w:tc>
        <w:tc>
          <w:tcPr>
            <w:tcW w:w="3780" w:type="dxa"/>
            <w:tcBorders>
              <w:top w:val="single" w:sz="4" w:space="0" w:color="auto"/>
              <w:left w:val="nil"/>
              <w:bottom w:val="nil"/>
              <w:right w:val="single" w:sz="4" w:space="0" w:color="auto"/>
            </w:tcBorders>
          </w:tcPr>
          <w:p w14:paraId="38F95139" w14:textId="77777777" w:rsidR="00D6185A" w:rsidRPr="00D6185A" w:rsidRDefault="00D6185A" w:rsidP="00D6185A">
            <w:pPr>
              <w:pStyle w:val="ListParagraph"/>
              <w:spacing w:before="60" w:after="60"/>
              <w:ind w:left="252"/>
              <w:rPr>
                <w:szCs w:val="24"/>
                <w:highlight w:val="lightGray"/>
              </w:rPr>
            </w:pPr>
          </w:p>
        </w:tc>
        <w:tc>
          <w:tcPr>
            <w:tcW w:w="7110" w:type="dxa"/>
            <w:tcBorders>
              <w:left w:val="single" w:sz="4" w:space="0" w:color="auto"/>
              <w:bottom w:val="single" w:sz="4" w:space="0" w:color="auto"/>
            </w:tcBorders>
            <w:shd w:val="clear" w:color="auto" w:fill="D9D9D9" w:themeFill="background1" w:themeFillShade="D9"/>
          </w:tcPr>
          <w:p w14:paraId="4FADB8D2" w14:textId="06F27F8B" w:rsidR="00D6185A" w:rsidRPr="00D6185A" w:rsidRDefault="00D6185A" w:rsidP="00B23BEE">
            <w:pPr>
              <w:jc w:val="center"/>
              <w:rPr>
                <w:b/>
                <w:szCs w:val="24"/>
              </w:rPr>
            </w:pPr>
            <w:r w:rsidRPr="00D6185A">
              <w:rPr>
                <w:b/>
                <w:szCs w:val="24"/>
              </w:rPr>
              <w:t xml:space="preserve">Final </w:t>
            </w:r>
            <w:bookmarkStart w:id="0" w:name="_GoBack"/>
            <w:bookmarkEnd w:id="0"/>
            <w:r w:rsidRPr="00D6185A">
              <w:rPr>
                <w:b/>
                <w:szCs w:val="24"/>
              </w:rPr>
              <w:t>Capability Rating</w:t>
            </w:r>
          </w:p>
        </w:tc>
        <w:tc>
          <w:tcPr>
            <w:tcW w:w="1170" w:type="dxa"/>
            <w:shd w:val="clear" w:color="auto" w:fill="D9D9D9" w:themeFill="background1" w:themeFillShade="D9"/>
          </w:tcPr>
          <w:p w14:paraId="56982435" w14:textId="77777777" w:rsidR="00D6185A" w:rsidRPr="00D6185A" w:rsidRDefault="00D6185A" w:rsidP="00D6185A">
            <w:pPr>
              <w:jc w:val="center"/>
              <w:rPr>
                <w:b/>
                <w:szCs w:val="24"/>
              </w:rPr>
            </w:pPr>
          </w:p>
        </w:tc>
      </w:tr>
    </w:tbl>
    <w:p w14:paraId="364C506C" w14:textId="77777777" w:rsidR="00D4020E" w:rsidRPr="00D6185A" w:rsidRDefault="00D4020E">
      <w:pPr>
        <w:rPr>
          <w:szCs w:val="24"/>
        </w:rPr>
      </w:pPr>
    </w:p>
    <w:p w14:paraId="28B6163A" w14:textId="77777777" w:rsidR="00EA133A" w:rsidRPr="00D6185A" w:rsidRDefault="00EA133A">
      <w:pPr>
        <w:rPr>
          <w:szCs w:val="24"/>
        </w:rPr>
      </w:pPr>
      <w:r w:rsidRPr="00D6185A">
        <w:rPr>
          <w:szCs w:val="24"/>
        </w:rPr>
        <w:tab/>
      </w:r>
      <w:r w:rsidRPr="00D6185A">
        <w:rPr>
          <w:szCs w:val="24"/>
        </w:rPr>
        <w:tab/>
      </w:r>
      <w:r w:rsidRPr="00D6185A">
        <w:rPr>
          <w:szCs w:val="24"/>
        </w:rPr>
        <w:tab/>
      </w:r>
      <w:r w:rsidRPr="00D6185A">
        <w:rPr>
          <w:szCs w:val="24"/>
        </w:rPr>
        <w:tab/>
      </w:r>
      <w:r w:rsidRPr="00D6185A">
        <w:rPr>
          <w:szCs w:val="24"/>
        </w:rPr>
        <w:tab/>
      </w:r>
      <w:r w:rsidRPr="00D6185A">
        <w:rPr>
          <w:szCs w:val="24"/>
        </w:rPr>
        <w:tab/>
      </w:r>
      <w:r w:rsidRPr="00D6185A">
        <w:rPr>
          <w:szCs w:val="24"/>
        </w:rPr>
        <w:tab/>
      </w:r>
      <w:r w:rsidRPr="00D6185A">
        <w:rPr>
          <w:szCs w:val="24"/>
        </w:rPr>
        <w:tab/>
      </w:r>
      <w:r w:rsidRPr="00D6185A">
        <w:rPr>
          <w:szCs w:val="24"/>
        </w:rPr>
        <w:tab/>
      </w:r>
      <w:r w:rsidRPr="00D6185A">
        <w:rPr>
          <w:szCs w:val="24"/>
        </w:rPr>
        <w:tab/>
      </w:r>
      <w:r w:rsidRPr="00D6185A">
        <w:rPr>
          <w:szCs w:val="24"/>
        </w:rPr>
        <w:tab/>
      </w:r>
    </w:p>
    <w:p w14:paraId="6C7F847C" w14:textId="77777777" w:rsidR="00EA133A" w:rsidRPr="00D6185A" w:rsidRDefault="00EA133A">
      <w:pPr>
        <w:rPr>
          <w:szCs w:val="24"/>
        </w:rPr>
      </w:pPr>
    </w:p>
    <w:tbl>
      <w:tblPr>
        <w:tblStyle w:val="TableGrid"/>
        <w:tblpPr w:leftFromText="180" w:rightFromText="180" w:vertAnchor="text" w:horzAnchor="margin" w:tblpXSpec="right" w:tblpY="-9"/>
        <w:tblOverlap w:val="never"/>
        <w:tblW w:w="0" w:type="auto"/>
        <w:tblLook w:val="04A0" w:firstRow="1" w:lastRow="0" w:firstColumn="1" w:lastColumn="0" w:noHBand="0" w:noVBand="1"/>
      </w:tblPr>
      <w:tblGrid>
        <w:gridCol w:w="5652"/>
      </w:tblGrid>
      <w:tr w:rsidR="00955F17" w:rsidRPr="00D6185A" w14:paraId="76A7A957" w14:textId="77777777" w:rsidTr="0099005F">
        <w:tc>
          <w:tcPr>
            <w:tcW w:w="5652" w:type="dxa"/>
            <w:shd w:val="clear" w:color="auto" w:fill="632423" w:themeFill="accent2" w:themeFillShade="80"/>
            <w:vAlign w:val="center"/>
          </w:tcPr>
          <w:p w14:paraId="730A8BF2" w14:textId="77777777" w:rsidR="00955F17" w:rsidRPr="00D6185A" w:rsidRDefault="00955F17" w:rsidP="00955F17">
            <w:pPr>
              <w:jc w:val="center"/>
              <w:rPr>
                <w:b/>
                <w:color w:val="FFFFFF" w:themeColor="background1"/>
                <w:szCs w:val="24"/>
              </w:rPr>
            </w:pPr>
            <w:r w:rsidRPr="00D6185A">
              <w:rPr>
                <w:b/>
                <w:color w:val="FFFFFF" w:themeColor="background1"/>
                <w:szCs w:val="24"/>
              </w:rPr>
              <w:t>Ratings Key</w:t>
            </w:r>
          </w:p>
        </w:tc>
      </w:tr>
      <w:tr w:rsidR="00955F17" w:rsidRPr="00D6185A" w14:paraId="66DCDF9B" w14:textId="77777777" w:rsidTr="00955F17">
        <w:trPr>
          <w:trHeight w:val="1042"/>
        </w:trPr>
        <w:tc>
          <w:tcPr>
            <w:tcW w:w="5652" w:type="dxa"/>
            <w:vAlign w:val="center"/>
          </w:tcPr>
          <w:p w14:paraId="19185423" w14:textId="77777777" w:rsidR="00955F17" w:rsidRPr="00D6185A" w:rsidRDefault="00A25D04" w:rsidP="00A25D04">
            <w:pPr>
              <w:rPr>
                <w:szCs w:val="24"/>
              </w:rPr>
            </w:pPr>
            <w:r w:rsidRPr="00D6185A">
              <w:rPr>
                <w:szCs w:val="24"/>
              </w:rPr>
              <w:t>P</w:t>
            </w:r>
            <w:r w:rsidR="00955F17" w:rsidRPr="00D6185A">
              <w:rPr>
                <w:szCs w:val="24"/>
              </w:rPr>
              <w:t xml:space="preserve"> – Performed without Challenges</w:t>
            </w:r>
          </w:p>
          <w:p w14:paraId="55607AFC" w14:textId="77777777" w:rsidR="00955F17" w:rsidRPr="00D6185A" w:rsidRDefault="00A25D04" w:rsidP="00A25D04">
            <w:pPr>
              <w:rPr>
                <w:szCs w:val="24"/>
              </w:rPr>
            </w:pPr>
            <w:r w:rsidRPr="00D6185A">
              <w:rPr>
                <w:szCs w:val="24"/>
              </w:rPr>
              <w:t>S</w:t>
            </w:r>
            <w:r w:rsidR="00955F17" w:rsidRPr="00D6185A">
              <w:rPr>
                <w:szCs w:val="24"/>
              </w:rPr>
              <w:t xml:space="preserve"> – Performed with Some Challenges</w:t>
            </w:r>
          </w:p>
          <w:p w14:paraId="715AFF31" w14:textId="77777777" w:rsidR="00955F17" w:rsidRPr="00D6185A" w:rsidRDefault="00A25D04" w:rsidP="00A25D04">
            <w:pPr>
              <w:rPr>
                <w:szCs w:val="24"/>
              </w:rPr>
            </w:pPr>
            <w:r w:rsidRPr="00D6185A">
              <w:rPr>
                <w:szCs w:val="24"/>
              </w:rPr>
              <w:t>M</w:t>
            </w:r>
            <w:r w:rsidR="00955F17" w:rsidRPr="00D6185A">
              <w:rPr>
                <w:szCs w:val="24"/>
              </w:rPr>
              <w:t xml:space="preserve"> – Performed with Major Challenges</w:t>
            </w:r>
          </w:p>
          <w:p w14:paraId="4AFCFF59" w14:textId="77777777" w:rsidR="00955F17" w:rsidRPr="00D6185A" w:rsidRDefault="00A25D04" w:rsidP="00A25D04">
            <w:pPr>
              <w:rPr>
                <w:szCs w:val="24"/>
              </w:rPr>
            </w:pPr>
            <w:r w:rsidRPr="00D6185A">
              <w:rPr>
                <w:szCs w:val="24"/>
              </w:rPr>
              <w:t>U</w:t>
            </w:r>
            <w:r w:rsidR="00955F17" w:rsidRPr="00D6185A">
              <w:rPr>
                <w:szCs w:val="24"/>
              </w:rPr>
              <w:t xml:space="preserve"> – Unable to be Performed </w:t>
            </w:r>
          </w:p>
        </w:tc>
      </w:tr>
    </w:tbl>
    <w:p w14:paraId="427B3B30" w14:textId="77777777" w:rsidR="00A91347" w:rsidRPr="00D6185A" w:rsidRDefault="00A91347" w:rsidP="00BA5844">
      <w:pPr>
        <w:tabs>
          <w:tab w:val="left" w:pos="6120"/>
        </w:tabs>
        <w:spacing w:after="120"/>
        <w:rPr>
          <w:szCs w:val="24"/>
        </w:rPr>
      </w:pPr>
      <w:r w:rsidRPr="00D6185A">
        <w:rPr>
          <w:szCs w:val="24"/>
        </w:rPr>
        <w:t xml:space="preserve">Evaluator Name </w:t>
      </w:r>
      <w:r w:rsidR="00BA5844" w:rsidRPr="00D6185A">
        <w:rPr>
          <w:szCs w:val="24"/>
          <w:u w:val="single"/>
        </w:rPr>
        <w:tab/>
      </w:r>
    </w:p>
    <w:p w14:paraId="0C9A8046" w14:textId="77777777" w:rsidR="00A91347" w:rsidRPr="00D6185A" w:rsidRDefault="00A91347" w:rsidP="00BA5844">
      <w:pPr>
        <w:tabs>
          <w:tab w:val="left" w:pos="6120"/>
        </w:tabs>
        <w:spacing w:after="120"/>
        <w:rPr>
          <w:szCs w:val="24"/>
        </w:rPr>
      </w:pPr>
      <w:r w:rsidRPr="00D6185A">
        <w:rPr>
          <w:szCs w:val="24"/>
        </w:rPr>
        <w:t xml:space="preserve">Evaluator E-mail </w:t>
      </w:r>
      <w:r w:rsidR="00BA5844" w:rsidRPr="00D6185A">
        <w:rPr>
          <w:szCs w:val="24"/>
          <w:u w:val="single"/>
        </w:rPr>
        <w:tab/>
      </w:r>
    </w:p>
    <w:p w14:paraId="1E37BD1F" w14:textId="77777777" w:rsidR="00A91347" w:rsidRPr="00D6185A" w:rsidRDefault="00A91347" w:rsidP="00BA5844">
      <w:pPr>
        <w:tabs>
          <w:tab w:val="left" w:pos="6120"/>
        </w:tabs>
        <w:spacing w:after="120"/>
        <w:rPr>
          <w:szCs w:val="24"/>
        </w:rPr>
      </w:pPr>
      <w:r w:rsidRPr="00D6185A">
        <w:rPr>
          <w:szCs w:val="24"/>
        </w:rPr>
        <w:t xml:space="preserve">Phone </w:t>
      </w:r>
      <w:r w:rsidR="00BA5844" w:rsidRPr="00D6185A">
        <w:rPr>
          <w:szCs w:val="24"/>
          <w:u w:val="single"/>
        </w:rPr>
        <w:tab/>
      </w:r>
    </w:p>
    <w:p w14:paraId="5B5F10DF" w14:textId="77777777" w:rsidR="00B6711B" w:rsidRPr="00D6185A" w:rsidRDefault="00B6711B" w:rsidP="00955F17">
      <w:pPr>
        <w:rPr>
          <w:szCs w:val="24"/>
        </w:rPr>
      </w:pPr>
    </w:p>
    <w:p w14:paraId="69172735" w14:textId="77777777" w:rsidR="00B6711B" w:rsidRPr="00D6185A" w:rsidRDefault="00B6711B" w:rsidP="00B6711B">
      <w:pPr>
        <w:rPr>
          <w:szCs w:val="24"/>
        </w:rPr>
      </w:pPr>
    </w:p>
    <w:p w14:paraId="3848012F" w14:textId="77777777" w:rsidR="00B6711B" w:rsidRPr="00D6185A" w:rsidRDefault="00B6711B" w:rsidP="00B6711B">
      <w:pPr>
        <w:rPr>
          <w:szCs w:val="24"/>
        </w:rPr>
      </w:pPr>
    </w:p>
    <w:p w14:paraId="3D623540" w14:textId="77777777" w:rsidR="00B6711B" w:rsidRPr="00D6185A" w:rsidRDefault="00B6711B" w:rsidP="00B6711B">
      <w:pPr>
        <w:rPr>
          <w:szCs w:val="24"/>
        </w:rPr>
      </w:pPr>
    </w:p>
    <w:p w14:paraId="7BA1B588" w14:textId="77777777" w:rsidR="00B6711B" w:rsidRPr="00D6185A" w:rsidRDefault="00B6711B" w:rsidP="00B6711B">
      <w:pPr>
        <w:rPr>
          <w:szCs w:val="24"/>
        </w:rPr>
      </w:pPr>
    </w:p>
    <w:p w14:paraId="05BE2815" w14:textId="77777777" w:rsidR="00B6711B" w:rsidRPr="00D6185A" w:rsidRDefault="00B6711B" w:rsidP="00B6711B">
      <w:pPr>
        <w:rPr>
          <w:szCs w:val="24"/>
        </w:rPr>
      </w:pPr>
    </w:p>
    <w:p w14:paraId="6B1462E7" w14:textId="77777777" w:rsidR="00B6711B" w:rsidRPr="00D6185A" w:rsidRDefault="00B6711B" w:rsidP="00B6711B">
      <w:pPr>
        <w:rPr>
          <w:szCs w:val="24"/>
        </w:rPr>
      </w:pPr>
    </w:p>
    <w:p w14:paraId="08231761" w14:textId="77777777" w:rsidR="00B6711B" w:rsidRPr="00D6185A" w:rsidRDefault="00B6711B" w:rsidP="00B6711B">
      <w:pPr>
        <w:rPr>
          <w:szCs w:val="24"/>
        </w:rPr>
      </w:pPr>
    </w:p>
    <w:p w14:paraId="4544A799" w14:textId="77777777" w:rsidR="00B6711B" w:rsidRPr="00D6185A" w:rsidRDefault="00B6711B" w:rsidP="00B6711B">
      <w:pPr>
        <w:rPr>
          <w:szCs w:val="24"/>
        </w:rPr>
      </w:pPr>
    </w:p>
    <w:p w14:paraId="5276B207" w14:textId="77777777" w:rsidR="00B6711B" w:rsidRPr="00D6185A" w:rsidRDefault="00B6711B" w:rsidP="00B6711B">
      <w:pPr>
        <w:rPr>
          <w:szCs w:val="24"/>
        </w:rPr>
      </w:pPr>
    </w:p>
    <w:p w14:paraId="2E989182" w14:textId="77777777" w:rsidR="006335A3" w:rsidRPr="00D6185A" w:rsidRDefault="006335A3" w:rsidP="00B6711B">
      <w:pPr>
        <w:tabs>
          <w:tab w:val="left" w:pos="3525"/>
        </w:tabs>
        <w:rPr>
          <w:color w:val="632423" w:themeColor="accent2" w:themeShade="80"/>
          <w:szCs w:val="24"/>
        </w:rPr>
      </w:pPr>
    </w:p>
    <w:p w14:paraId="2E130657" w14:textId="77777777" w:rsidR="008D3B07" w:rsidRPr="00D6185A" w:rsidRDefault="000F268D" w:rsidP="006335A3">
      <w:pPr>
        <w:pStyle w:val="Heading2"/>
        <w:jc w:val="center"/>
        <w:rPr>
          <w:rFonts w:ascii="Times New Roman" w:hAnsi="Times New Roman" w:cs="Times New Roman"/>
          <w:color w:val="632423" w:themeColor="accent2" w:themeShade="80"/>
        </w:rPr>
      </w:pPr>
      <w:r w:rsidRPr="00D6185A">
        <w:rPr>
          <w:rFonts w:ascii="Times New Roman" w:hAnsi="Times New Roman" w:cs="Times New Roman"/>
          <w:color w:val="632423" w:themeColor="accent2" w:themeShade="80"/>
        </w:rPr>
        <w:t>Rating</w:t>
      </w:r>
      <w:r w:rsidR="006335A3" w:rsidRPr="00D6185A">
        <w:rPr>
          <w:rFonts w:ascii="Times New Roman" w:hAnsi="Times New Roman" w:cs="Times New Roman"/>
          <w:color w:val="632423" w:themeColor="accent2" w:themeShade="80"/>
        </w:rPr>
        <w:t>s</w:t>
      </w:r>
      <w:r w:rsidRPr="00D6185A">
        <w:rPr>
          <w:rFonts w:ascii="Times New Roman" w:hAnsi="Times New Roman" w:cs="Times New Roman"/>
          <w:color w:val="632423" w:themeColor="accent2" w:themeShade="80"/>
        </w:rPr>
        <w:t xml:space="preserve"> </w:t>
      </w:r>
      <w:r w:rsidR="006335A3" w:rsidRPr="00D6185A">
        <w:rPr>
          <w:rFonts w:ascii="Times New Roman" w:hAnsi="Times New Roman" w:cs="Times New Roman"/>
          <w:color w:val="632423" w:themeColor="accent2" w:themeShade="80"/>
        </w:rPr>
        <w:t>Definitions</w:t>
      </w:r>
    </w:p>
    <w:p w14:paraId="2AE6F07A" w14:textId="77777777" w:rsidR="000F268D" w:rsidRPr="00D6185A" w:rsidRDefault="000F268D" w:rsidP="008D3B07">
      <w:pPr>
        <w:jc w:val="center"/>
        <w:rPr>
          <w:szCs w:val="24"/>
        </w:rPr>
      </w:pPr>
    </w:p>
    <w:tbl>
      <w:tblPr>
        <w:tblStyle w:val="TableGrid"/>
        <w:tblW w:w="0" w:type="auto"/>
        <w:jc w:val="center"/>
        <w:tblLook w:val="04A0" w:firstRow="1" w:lastRow="0" w:firstColumn="1" w:lastColumn="0" w:noHBand="0" w:noVBand="1"/>
      </w:tblPr>
      <w:tblGrid>
        <w:gridCol w:w="3159"/>
        <w:gridCol w:w="9791"/>
      </w:tblGrid>
      <w:tr w:rsidR="000F268D" w:rsidRPr="00D6185A" w14:paraId="401DC9AF" w14:textId="77777777" w:rsidTr="00F724C4">
        <w:trPr>
          <w:jc w:val="center"/>
        </w:trPr>
        <w:tc>
          <w:tcPr>
            <w:tcW w:w="3420" w:type="dxa"/>
            <w:shd w:val="clear" w:color="auto" w:fill="632423" w:themeFill="accent2" w:themeFillShade="80"/>
            <w:vAlign w:val="center"/>
          </w:tcPr>
          <w:p w14:paraId="78A44CFC" w14:textId="77777777" w:rsidR="000F268D" w:rsidRPr="00D6185A" w:rsidRDefault="000F268D" w:rsidP="00955F17">
            <w:pPr>
              <w:jc w:val="center"/>
              <w:rPr>
                <w:b/>
                <w:color w:val="FFFFFF" w:themeColor="background1"/>
                <w:szCs w:val="24"/>
              </w:rPr>
            </w:pPr>
            <w:r w:rsidRPr="00D6185A">
              <w:rPr>
                <w:b/>
                <w:color w:val="FFFFFF" w:themeColor="background1"/>
                <w:szCs w:val="24"/>
              </w:rPr>
              <w:t>Performed without Challenges</w:t>
            </w:r>
            <w:r w:rsidR="00955F17" w:rsidRPr="00D6185A">
              <w:rPr>
                <w:b/>
                <w:color w:val="FFFFFF" w:themeColor="background1"/>
                <w:szCs w:val="24"/>
              </w:rPr>
              <w:t xml:space="preserve"> (P)</w:t>
            </w:r>
          </w:p>
        </w:tc>
        <w:tc>
          <w:tcPr>
            <w:tcW w:w="10980" w:type="dxa"/>
          </w:tcPr>
          <w:p w14:paraId="522A697D" w14:textId="1A0A0025" w:rsidR="00525816" w:rsidRPr="00D6185A" w:rsidRDefault="000F268D" w:rsidP="002B2075">
            <w:pPr>
              <w:widowControl w:val="0"/>
              <w:autoSpaceDE w:val="0"/>
              <w:autoSpaceDN w:val="0"/>
              <w:adjustRightInd w:val="0"/>
              <w:spacing w:before="120" w:after="120"/>
              <w:rPr>
                <w:szCs w:val="24"/>
              </w:rPr>
            </w:pPr>
            <w:r w:rsidRPr="00D6185A">
              <w:rPr>
                <w:szCs w:val="24"/>
              </w:rPr>
              <w:t>The targets and critical tasks associated with the capability were completed in a manner that achieved the objective(s) and did not negatively impact the performance of other activities. Performance of this activity did not contribute to additional health and/or</w:t>
            </w:r>
            <w:r w:rsidR="00955F17" w:rsidRPr="00D6185A">
              <w:rPr>
                <w:szCs w:val="24"/>
              </w:rPr>
              <w:t xml:space="preserve"> safety risks for the public or </w:t>
            </w:r>
            <w:r w:rsidRPr="00D6185A">
              <w:rPr>
                <w:szCs w:val="24"/>
              </w:rPr>
              <w:t>for emergency workers, and it was conducted in accordance with applicable plans, policies, procedures, regulations, and laws.</w:t>
            </w:r>
          </w:p>
        </w:tc>
      </w:tr>
      <w:tr w:rsidR="000F268D" w:rsidRPr="00D6185A" w14:paraId="7A6C689E" w14:textId="77777777" w:rsidTr="00F724C4">
        <w:trPr>
          <w:jc w:val="center"/>
        </w:trPr>
        <w:tc>
          <w:tcPr>
            <w:tcW w:w="3420" w:type="dxa"/>
            <w:shd w:val="clear" w:color="auto" w:fill="632423" w:themeFill="accent2" w:themeFillShade="80"/>
            <w:vAlign w:val="center"/>
          </w:tcPr>
          <w:p w14:paraId="51CF2048" w14:textId="77777777" w:rsidR="000F268D" w:rsidRPr="00D6185A" w:rsidRDefault="000F268D" w:rsidP="00351DDD">
            <w:pPr>
              <w:jc w:val="center"/>
              <w:rPr>
                <w:b/>
                <w:color w:val="FFFFFF" w:themeColor="background1"/>
                <w:szCs w:val="24"/>
              </w:rPr>
            </w:pPr>
            <w:r w:rsidRPr="00D6185A">
              <w:rPr>
                <w:b/>
                <w:color w:val="FFFFFF" w:themeColor="background1"/>
                <w:szCs w:val="24"/>
              </w:rPr>
              <w:t>Performed with Some Challenges</w:t>
            </w:r>
            <w:r w:rsidR="00955F17" w:rsidRPr="00D6185A">
              <w:rPr>
                <w:b/>
                <w:color w:val="FFFFFF" w:themeColor="background1"/>
                <w:szCs w:val="24"/>
              </w:rPr>
              <w:t xml:space="preserve"> (S)</w:t>
            </w:r>
          </w:p>
        </w:tc>
        <w:tc>
          <w:tcPr>
            <w:tcW w:w="10980" w:type="dxa"/>
          </w:tcPr>
          <w:p w14:paraId="12163E9B" w14:textId="0CB44ECE" w:rsidR="000F268D" w:rsidRPr="00D6185A" w:rsidRDefault="000F268D" w:rsidP="002B2075">
            <w:pPr>
              <w:widowControl w:val="0"/>
              <w:autoSpaceDE w:val="0"/>
              <w:autoSpaceDN w:val="0"/>
              <w:adjustRightInd w:val="0"/>
              <w:spacing w:before="120" w:after="120"/>
              <w:rPr>
                <w:szCs w:val="24"/>
              </w:rPr>
            </w:pPr>
            <w:r w:rsidRPr="00D6185A">
              <w:rPr>
                <w:szCs w:val="24"/>
              </w:rPr>
              <w:t>The targets and critical tasks associated with the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D6185A" w14:paraId="6403B82F" w14:textId="77777777" w:rsidTr="00F724C4">
        <w:trPr>
          <w:jc w:val="center"/>
        </w:trPr>
        <w:tc>
          <w:tcPr>
            <w:tcW w:w="3420" w:type="dxa"/>
            <w:shd w:val="clear" w:color="auto" w:fill="632423" w:themeFill="accent2" w:themeFillShade="80"/>
            <w:vAlign w:val="center"/>
          </w:tcPr>
          <w:p w14:paraId="2BF66AF6" w14:textId="77777777" w:rsidR="000F268D" w:rsidRPr="00D6185A" w:rsidRDefault="000F268D" w:rsidP="00955F17">
            <w:pPr>
              <w:jc w:val="center"/>
              <w:rPr>
                <w:b/>
                <w:color w:val="FFFFFF" w:themeColor="background1"/>
                <w:szCs w:val="24"/>
              </w:rPr>
            </w:pPr>
            <w:r w:rsidRPr="00D6185A">
              <w:rPr>
                <w:b/>
                <w:color w:val="FFFFFF" w:themeColor="background1"/>
                <w:szCs w:val="24"/>
              </w:rPr>
              <w:t xml:space="preserve">Performed with Major Challenges </w:t>
            </w:r>
            <w:r w:rsidR="00955F17" w:rsidRPr="00D6185A">
              <w:rPr>
                <w:b/>
                <w:color w:val="FFFFFF" w:themeColor="background1"/>
                <w:szCs w:val="24"/>
              </w:rPr>
              <w:t>(M)</w:t>
            </w:r>
          </w:p>
        </w:tc>
        <w:tc>
          <w:tcPr>
            <w:tcW w:w="10980" w:type="dxa"/>
          </w:tcPr>
          <w:p w14:paraId="2772390F" w14:textId="7C3FF39F" w:rsidR="000F268D" w:rsidRPr="00D6185A" w:rsidRDefault="000F268D" w:rsidP="002B2075">
            <w:pPr>
              <w:widowControl w:val="0"/>
              <w:autoSpaceDE w:val="0"/>
              <w:autoSpaceDN w:val="0"/>
              <w:adjustRightInd w:val="0"/>
              <w:spacing w:before="120" w:after="120"/>
              <w:rPr>
                <w:szCs w:val="24"/>
              </w:rPr>
            </w:pPr>
            <w:r w:rsidRPr="00D6185A">
              <w:rPr>
                <w:szCs w:val="24"/>
              </w:rPr>
              <w:t>The targets and critical tasks associated with the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D6185A" w14:paraId="7577A760" w14:textId="77777777" w:rsidTr="00F724C4">
        <w:trPr>
          <w:jc w:val="center"/>
        </w:trPr>
        <w:tc>
          <w:tcPr>
            <w:tcW w:w="3420" w:type="dxa"/>
            <w:shd w:val="clear" w:color="auto" w:fill="632423" w:themeFill="accent2" w:themeFillShade="80"/>
            <w:vAlign w:val="center"/>
          </w:tcPr>
          <w:p w14:paraId="7DBDC4B4" w14:textId="77777777" w:rsidR="000F268D" w:rsidRPr="00D6185A" w:rsidRDefault="000F268D" w:rsidP="00955F17">
            <w:pPr>
              <w:jc w:val="center"/>
              <w:rPr>
                <w:b/>
                <w:color w:val="FFFFFF" w:themeColor="background1"/>
                <w:szCs w:val="24"/>
              </w:rPr>
            </w:pPr>
            <w:r w:rsidRPr="00D6185A">
              <w:rPr>
                <w:b/>
                <w:color w:val="FFFFFF" w:themeColor="background1"/>
                <w:szCs w:val="24"/>
              </w:rPr>
              <w:t xml:space="preserve">Unable to be Performed </w:t>
            </w:r>
            <w:r w:rsidR="00955F17" w:rsidRPr="00D6185A">
              <w:rPr>
                <w:b/>
                <w:color w:val="FFFFFF" w:themeColor="background1"/>
                <w:szCs w:val="24"/>
              </w:rPr>
              <w:t>(U)</w:t>
            </w:r>
          </w:p>
        </w:tc>
        <w:tc>
          <w:tcPr>
            <w:tcW w:w="10980" w:type="dxa"/>
          </w:tcPr>
          <w:p w14:paraId="7430213A" w14:textId="3C722335" w:rsidR="000F268D" w:rsidRPr="00D6185A" w:rsidRDefault="000F268D" w:rsidP="002B2075">
            <w:pPr>
              <w:widowControl w:val="0"/>
              <w:autoSpaceDE w:val="0"/>
              <w:autoSpaceDN w:val="0"/>
              <w:adjustRightInd w:val="0"/>
              <w:spacing w:before="120" w:after="120"/>
              <w:rPr>
                <w:szCs w:val="24"/>
              </w:rPr>
            </w:pPr>
            <w:r w:rsidRPr="00D6185A">
              <w:rPr>
                <w:szCs w:val="24"/>
              </w:rPr>
              <w:t>The targets and critical tasks associated with the capability were not performed in a manner that achieved the objective(s).</w:t>
            </w:r>
          </w:p>
        </w:tc>
      </w:tr>
    </w:tbl>
    <w:p w14:paraId="0A5D1114" w14:textId="77777777" w:rsidR="000F268D" w:rsidRPr="00D6185A" w:rsidRDefault="000F268D" w:rsidP="000F268D">
      <w:pPr>
        <w:rPr>
          <w:szCs w:val="24"/>
        </w:rPr>
      </w:pPr>
    </w:p>
    <w:sectPr w:rsidR="000F268D" w:rsidRPr="00D6185A" w:rsidSect="00E17DBC">
      <w:footerReference w:type="default" r:id="rId14"/>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913D6" w14:textId="77777777" w:rsidR="00C737F2" w:rsidRDefault="00C737F2" w:rsidP="00955F17">
      <w:r>
        <w:separator/>
      </w:r>
    </w:p>
  </w:endnote>
  <w:endnote w:type="continuationSeparator" w:id="0">
    <w:p w14:paraId="5CECC1C2" w14:textId="77777777" w:rsidR="00C737F2" w:rsidRDefault="00C737F2"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49218" w14:textId="77777777" w:rsidR="00AB3615" w:rsidRDefault="00AB36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648B1" w14:textId="156E27CF" w:rsidR="00C737F2" w:rsidRPr="0099005F" w:rsidRDefault="00C737F2" w:rsidP="001E7B6F">
    <w:pPr>
      <w:pStyle w:val="Header"/>
      <w:pBdr>
        <w:top w:val="single" w:sz="8" w:space="1" w:color="000080"/>
      </w:pBdr>
      <w:tabs>
        <w:tab w:val="clear" w:pos="4680"/>
        <w:tab w:val="center" w:pos="6480"/>
      </w:tabs>
      <w:rPr>
        <w:rStyle w:val="PageNumber"/>
        <w:rFonts w:ascii="Arial" w:eastAsia="Times New Roman" w:hAnsi="Arial" w:cs="Arial"/>
        <w:color w:val="632423" w:themeColor="accent2" w:themeShade="80"/>
        <w:sz w:val="18"/>
        <w:szCs w:val="18"/>
      </w:rPr>
    </w:pPr>
    <w:r w:rsidRPr="0099005F">
      <w:rPr>
        <w:rStyle w:val="PageNumber"/>
        <w:rFonts w:ascii="Arial" w:eastAsia="Times New Roman" w:hAnsi="Arial" w:cs="Arial"/>
        <w:color w:val="632423" w:themeColor="accent2" w:themeShade="80"/>
        <w:sz w:val="18"/>
        <w:szCs w:val="18"/>
      </w:rPr>
      <w:t>Rev. April 2013</w:t>
    </w:r>
    <w:r w:rsidRPr="0099005F">
      <w:rPr>
        <w:rStyle w:val="PageNumber"/>
        <w:rFonts w:ascii="Arial" w:eastAsia="Times New Roman" w:hAnsi="Arial" w:cs="Arial"/>
        <w:b/>
        <w:color w:val="632423" w:themeColor="accent2" w:themeShade="80"/>
        <w:sz w:val="18"/>
        <w:szCs w:val="18"/>
      </w:rPr>
      <w:tab/>
    </w:r>
    <w:r w:rsidR="004024E2">
      <w:rPr>
        <w:rStyle w:val="PageNumber"/>
        <w:rFonts w:ascii="Arial" w:eastAsia="Times New Roman" w:hAnsi="Arial" w:cs="Arial"/>
        <w:color w:val="632423" w:themeColor="accent2" w:themeShade="80"/>
        <w:sz w:val="18"/>
        <w:szCs w:val="18"/>
      </w:rPr>
      <w:t>FOUO</w:t>
    </w:r>
  </w:p>
  <w:p w14:paraId="6A1FACB4" w14:textId="77777777" w:rsidR="00C737F2" w:rsidRPr="0099005F" w:rsidRDefault="0082534B" w:rsidP="00C737F2">
    <w:pPr>
      <w:tabs>
        <w:tab w:val="center" w:pos="6480"/>
      </w:tabs>
      <w:spacing w:before="60"/>
      <w:rPr>
        <w:rFonts w:ascii="Arial" w:hAnsi="Arial" w:cs="Arial"/>
        <w:color w:val="632423" w:themeColor="accent2" w:themeShade="80"/>
        <w:sz w:val="18"/>
        <w:szCs w:val="18"/>
      </w:rPr>
    </w:pPr>
    <w:r w:rsidRPr="0099005F">
      <w:rPr>
        <w:rFonts w:ascii="Arial" w:hAnsi="Arial" w:cs="Arial"/>
        <w:color w:val="632423" w:themeColor="accent2" w:themeShade="80"/>
        <w:sz w:val="18"/>
        <w:szCs w:val="18"/>
      </w:rPr>
      <w:t>EEG-</w:t>
    </w:r>
    <w:proofErr w:type="spellStart"/>
    <w:r w:rsidRPr="0099005F">
      <w:rPr>
        <w:rFonts w:ascii="Arial" w:hAnsi="Arial" w:cs="Arial"/>
        <w:color w:val="632423" w:themeColor="accent2" w:themeShade="80"/>
        <w:sz w:val="18"/>
        <w:szCs w:val="18"/>
      </w:rPr>
      <w:t>Recv</w:t>
    </w:r>
    <w:proofErr w:type="spellEnd"/>
    <w:r w:rsidRPr="0099005F">
      <w:rPr>
        <w:rFonts w:ascii="Arial" w:hAnsi="Arial" w:cs="Arial"/>
        <w:color w:val="632423" w:themeColor="accent2" w:themeShade="80"/>
        <w:sz w:val="18"/>
        <w:szCs w:val="18"/>
      </w:rPr>
      <w:t>-IS</w:t>
    </w:r>
    <w:r w:rsidR="00C737F2" w:rsidRPr="0099005F">
      <w:rPr>
        <w:rFonts w:ascii="Arial" w:hAnsi="Arial" w:cs="Arial"/>
        <w:color w:val="632423" w:themeColor="accent2" w:themeShade="80"/>
        <w:sz w:val="18"/>
        <w:szCs w:val="18"/>
      </w:rPr>
      <w:tab/>
      <w:t>Homeland Security Exercise and Evaluation Program (HSEEP)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20124" w14:textId="77777777" w:rsidR="00AB3615" w:rsidRDefault="00AB361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15814" w14:textId="5E868B53" w:rsidR="00FB101F" w:rsidRPr="00F724C4"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632423" w:themeColor="accent2" w:themeShade="80"/>
        <w:sz w:val="18"/>
        <w:szCs w:val="18"/>
      </w:rPr>
    </w:pPr>
    <w:r w:rsidRPr="00F724C4">
      <w:rPr>
        <w:rStyle w:val="PageNumber"/>
        <w:rFonts w:ascii="Arial" w:eastAsia="Times New Roman" w:hAnsi="Arial" w:cs="Arial"/>
        <w:b/>
        <w:color w:val="632423" w:themeColor="accent2" w:themeShade="80"/>
        <w:sz w:val="18"/>
        <w:szCs w:val="18"/>
      </w:rPr>
      <w:tab/>
    </w:r>
    <w:r w:rsidR="004024E2">
      <w:rPr>
        <w:rStyle w:val="PageNumber"/>
        <w:rFonts w:ascii="Arial" w:eastAsia="Times New Roman" w:hAnsi="Arial" w:cs="Arial"/>
        <w:color w:val="632423" w:themeColor="accent2" w:themeShade="80"/>
        <w:sz w:val="18"/>
        <w:szCs w:val="18"/>
      </w:rPr>
      <w:t>FOUO</w:t>
    </w:r>
  </w:p>
  <w:p w14:paraId="78BCE3AF" w14:textId="77777777" w:rsidR="00FB101F" w:rsidRPr="00F724C4" w:rsidRDefault="00FB101F" w:rsidP="00C737F2">
    <w:pPr>
      <w:tabs>
        <w:tab w:val="center" w:pos="6480"/>
      </w:tabs>
      <w:spacing w:before="60"/>
      <w:rPr>
        <w:rFonts w:ascii="Arial" w:hAnsi="Arial" w:cs="Arial"/>
        <w:color w:val="632423" w:themeColor="accent2" w:themeShade="80"/>
        <w:sz w:val="18"/>
        <w:szCs w:val="18"/>
      </w:rPr>
    </w:pPr>
    <w:r w:rsidRPr="00F724C4">
      <w:rPr>
        <w:rFonts w:ascii="Arial" w:hAnsi="Arial" w:cs="Arial"/>
        <w:color w:val="632423" w:themeColor="accent2" w:themeShade="80"/>
        <w:sz w:val="18"/>
        <w:szCs w:val="18"/>
      </w:rPr>
      <w:tab/>
      <w:t>Homeland Security Exercise and Evaluation Program (HSEEP)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4CFFD" w14:textId="77777777" w:rsidR="00C737F2" w:rsidRDefault="00C737F2" w:rsidP="00955F17">
      <w:r>
        <w:separator/>
      </w:r>
    </w:p>
  </w:footnote>
  <w:footnote w:type="continuationSeparator" w:id="0">
    <w:p w14:paraId="0E61F149" w14:textId="77777777" w:rsidR="00C737F2" w:rsidRDefault="00C737F2" w:rsidP="00955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97E29" w14:textId="77777777" w:rsidR="00AB3615" w:rsidRDefault="00AB36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880974"/>
      <w:docPartObj>
        <w:docPartGallery w:val="Watermarks"/>
        <w:docPartUnique/>
      </w:docPartObj>
    </w:sdtPr>
    <w:sdtEndPr/>
    <w:sdtContent>
      <w:p w14:paraId="1B021E50" w14:textId="07FE7E7E" w:rsidR="00AB3615" w:rsidRDefault="00B23BEE">
        <w:pPr>
          <w:pStyle w:val="Header"/>
        </w:pPr>
        <w:r>
          <w:rPr>
            <w:noProof/>
          </w:rPr>
          <w:pict w14:anchorId="70328F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6348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0E0D5" w14:textId="77777777" w:rsidR="00AB3615" w:rsidRDefault="00AB36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54102"/>
    <w:multiLevelType w:val="hybridMultilevel"/>
    <w:tmpl w:val="0E94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8012B9"/>
    <w:multiLevelType w:val="hybridMultilevel"/>
    <w:tmpl w:val="B3A4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5001E6"/>
    <w:multiLevelType w:val="hybridMultilevel"/>
    <w:tmpl w:val="E78EB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3"/>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63490"/>
    <o:shapelayout v:ext="edit">
      <o:idmap v:ext="edit" data="6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F1"/>
    <w:rsid w:val="00036868"/>
    <w:rsid w:val="000633A2"/>
    <w:rsid w:val="000C396B"/>
    <w:rsid w:val="000C4D24"/>
    <w:rsid w:val="000C73D9"/>
    <w:rsid w:val="000D2BE8"/>
    <w:rsid w:val="000D491C"/>
    <w:rsid w:val="000E108A"/>
    <w:rsid w:val="000E2EE1"/>
    <w:rsid w:val="000F0168"/>
    <w:rsid w:val="000F268D"/>
    <w:rsid w:val="000F521C"/>
    <w:rsid w:val="000F5E51"/>
    <w:rsid w:val="000F7AE4"/>
    <w:rsid w:val="0010033C"/>
    <w:rsid w:val="00112BD0"/>
    <w:rsid w:val="00146F56"/>
    <w:rsid w:val="00152978"/>
    <w:rsid w:val="001702F6"/>
    <w:rsid w:val="001A4F97"/>
    <w:rsid w:val="001A5C59"/>
    <w:rsid w:val="001B472F"/>
    <w:rsid w:val="001D6C99"/>
    <w:rsid w:val="001E7B6F"/>
    <w:rsid w:val="0021261C"/>
    <w:rsid w:val="00284301"/>
    <w:rsid w:val="002A71BF"/>
    <w:rsid w:val="002B08EF"/>
    <w:rsid w:val="002B2075"/>
    <w:rsid w:val="002D6F07"/>
    <w:rsid w:val="002E0111"/>
    <w:rsid w:val="002E7D11"/>
    <w:rsid w:val="002F131C"/>
    <w:rsid w:val="00311DEC"/>
    <w:rsid w:val="00333040"/>
    <w:rsid w:val="00336FE6"/>
    <w:rsid w:val="0034552F"/>
    <w:rsid w:val="00351DDD"/>
    <w:rsid w:val="00370845"/>
    <w:rsid w:val="00371A71"/>
    <w:rsid w:val="003745F2"/>
    <w:rsid w:val="0038063E"/>
    <w:rsid w:val="00381AF1"/>
    <w:rsid w:val="003B303B"/>
    <w:rsid w:val="003F7ABC"/>
    <w:rsid w:val="004011CB"/>
    <w:rsid w:val="004024E2"/>
    <w:rsid w:val="00404AC2"/>
    <w:rsid w:val="00405EA5"/>
    <w:rsid w:val="00413C00"/>
    <w:rsid w:val="00433C20"/>
    <w:rsid w:val="00447161"/>
    <w:rsid w:val="00452029"/>
    <w:rsid w:val="0046656B"/>
    <w:rsid w:val="004B0220"/>
    <w:rsid w:val="004C106E"/>
    <w:rsid w:val="004C1197"/>
    <w:rsid w:val="004D237A"/>
    <w:rsid w:val="004F3766"/>
    <w:rsid w:val="004F6F29"/>
    <w:rsid w:val="00503BD8"/>
    <w:rsid w:val="00516715"/>
    <w:rsid w:val="00524D15"/>
    <w:rsid w:val="00525816"/>
    <w:rsid w:val="0053227E"/>
    <w:rsid w:val="00536E13"/>
    <w:rsid w:val="00546F00"/>
    <w:rsid w:val="005701D6"/>
    <w:rsid w:val="005E4BDC"/>
    <w:rsid w:val="006335A3"/>
    <w:rsid w:val="00637663"/>
    <w:rsid w:val="00644776"/>
    <w:rsid w:val="00644FEE"/>
    <w:rsid w:val="006739E1"/>
    <w:rsid w:val="006776F9"/>
    <w:rsid w:val="00681319"/>
    <w:rsid w:val="0069017F"/>
    <w:rsid w:val="00693465"/>
    <w:rsid w:val="006950C2"/>
    <w:rsid w:val="006A62E4"/>
    <w:rsid w:val="006B2B7D"/>
    <w:rsid w:val="006C4257"/>
    <w:rsid w:val="006C6F5E"/>
    <w:rsid w:val="006E346E"/>
    <w:rsid w:val="006F2B2F"/>
    <w:rsid w:val="00703AA3"/>
    <w:rsid w:val="0074097E"/>
    <w:rsid w:val="007530FB"/>
    <w:rsid w:val="007539C3"/>
    <w:rsid w:val="007667C7"/>
    <w:rsid w:val="0077085D"/>
    <w:rsid w:val="007850A0"/>
    <w:rsid w:val="007915FF"/>
    <w:rsid w:val="007A424F"/>
    <w:rsid w:val="007B1211"/>
    <w:rsid w:val="007B1C37"/>
    <w:rsid w:val="007C2E85"/>
    <w:rsid w:val="007D48EB"/>
    <w:rsid w:val="007F2C03"/>
    <w:rsid w:val="00823926"/>
    <w:rsid w:val="0082534B"/>
    <w:rsid w:val="008348C6"/>
    <w:rsid w:val="00837F9C"/>
    <w:rsid w:val="00844C46"/>
    <w:rsid w:val="00856A09"/>
    <w:rsid w:val="008A1879"/>
    <w:rsid w:val="008A6F44"/>
    <w:rsid w:val="008D0B19"/>
    <w:rsid w:val="008D3B07"/>
    <w:rsid w:val="0090703C"/>
    <w:rsid w:val="00916D16"/>
    <w:rsid w:val="0093201D"/>
    <w:rsid w:val="009341E2"/>
    <w:rsid w:val="00954BF7"/>
    <w:rsid w:val="00955F17"/>
    <w:rsid w:val="00973C96"/>
    <w:rsid w:val="009855AF"/>
    <w:rsid w:val="00986BAC"/>
    <w:rsid w:val="0099005F"/>
    <w:rsid w:val="0099787B"/>
    <w:rsid w:val="009B0B2E"/>
    <w:rsid w:val="009B3B86"/>
    <w:rsid w:val="009C0948"/>
    <w:rsid w:val="009C7185"/>
    <w:rsid w:val="009D470E"/>
    <w:rsid w:val="00A25D04"/>
    <w:rsid w:val="00A71276"/>
    <w:rsid w:val="00A734D5"/>
    <w:rsid w:val="00A81DDB"/>
    <w:rsid w:val="00A91347"/>
    <w:rsid w:val="00A95616"/>
    <w:rsid w:val="00A97B28"/>
    <w:rsid w:val="00AB3615"/>
    <w:rsid w:val="00AE3828"/>
    <w:rsid w:val="00B04D42"/>
    <w:rsid w:val="00B23BEE"/>
    <w:rsid w:val="00B34F28"/>
    <w:rsid w:val="00B6711B"/>
    <w:rsid w:val="00B95816"/>
    <w:rsid w:val="00BA5844"/>
    <w:rsid w:val="00BC2740"/>
    <w:rsid w:val="00BE2B8C"/>
    <w:rsid w:val="00BE55D8"/>
    <w:rsid w:val="00C01FE1"/>
    <w:rsid w:val="00C145F8"/>
    <w:rsid w:val="00C155A2"/>
    <w:rsid w:val="00C16578"/>
    <w:rsid w:val="00C36890"/>
    <w:rsid w:val="00C4049A"/>
    <w:rsid w:val="00C43EC7"/>
    <w:rsid w:val="00C527E5"/>
    <w:rsid w:val="00C56E61"/>
    <w:rsid w:val="00C66244"/>
    <w:rsid w:val="00C737F2"/>
    <w:rsid w:val="00C76678"/>
    <w:rsid w:val="00C804A2"/>
    <w:rsid w:val="00C875C6"/>
    <w:rsid w:val="00CA0B73"/>
    <w:rsid w:val="00CC7E2F"/>
    <w:rsid w:val="00D4020E"/>
    <w:rsid w:val="00D60012"/>
    <w:rsid w:val="00D6185A"/>
    <w:rsid w:val="00D77C34"/>
    <w:rsid w:val="00D93B9C"/>
    <w:rsid w:val="00DA7AE6"/>
    <w:rsid w:val="00DB27B5"/>
    <w:rsid w:val="00DB72DC"/>
    <w:rsid w:val="00DC15C6"/>
    <w:rsid w:val="00DD3050"/>
    <w:rsid w:val="00DE345E"/>
    <w:rsid w:val="00DE36A0"/>
    <w:rsid w:val="00E17DBC"/>
    <w:rsid w:val="00E435F2"/>
    <w:rsid w:val="00E47F19"/>
    <w:rsid w:val="00EA133A"/>
    <w:rsid w:val="00ED02ED"/>
    <w:rsid w:val="00F34CCC"/>
    <w:rsid w:val="00F46A7F"/>
    <w:rsid w:val="00F724C4"/>
    <w:rsid w:val="00F77D42"/>
    <w:rsid w:val="00F82C3F"/>
    <w:rsid w:val="00F91DE5"/>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14:docId w14:val="40E04BCF"/>
  <w15:docId w15:val="{54962509-A8BC-4B68-8B7E-A3AD40E0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 w:type="character" w:customStyle="1" w:styleId="A5">
    <w:name w:val="A5"/>
    <w:uiPriority w:val="99"/>
    <w:rsid w:val="000C73D9"/>
    <w:rPr>
      <w:rFonts w:cs="Myriad Pro"/>
      <w:b/>
      <w:bCs/>
      <w:color w:val="221E1F"/>
      <w:sz w:val="20"/>
      <w:szCs w:val="20"/>
    </w:rPr>
  </w:style>
  <w:style w:type="character" w:customStyle="1" w:styleId="A2">
    <w:name w:val="A2"/>
    <w:uiPriority w:val="99"/>
    <w:rsid w:val="000C73D9"/>
    <w:rPr>
      <w:rFonts w:cs="Myriad Pro"/>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5FCF8-B321-410C-AB0B-F741F533D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Siceloff, Rebecca</dc:creator>
  <cp:lastModifiedBy>Newland, Jennifer (ISDH)</cp:lastModifiedBy>
  <cp:revision>35</cp:revision>
  <cp:lastPrinted>2013-03-29T20:22:00Z</cp:lastPrinted>
  <dcterms:created xsi:type="dcterms:W3CDTF">2016-02-25T21:57:00Z</dcterms:created>
  <dcterms:modified xsi:type="dcterms:W3CDTF">2017-08-22T18:11:00Z</dcterms:modified>
</cp:coreProperties>
</file>